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C69551">
      <w:pPr>
        <w:snapToGrid w:val="0"/>
        <w:spacing w:line="600" w:lineRule="exact"/>
        <w:ind w:right="160"/>
        <w:jc w:val="right"/>
        <w:rPr>
          <w:rFonts w:ascii="黑体" w:eastAsia="黑体"/>
          <w:b/>
          <w:szCs w:val="32"/>
          <w:u w:val="none"/>
        </w:rPr>
      </w:pPr>
    </w:p>
    <w:p w14:paraId="2BD1B15A">
      <w:pPr>
        <w:snapToGrid w:val="0"/>
        <w:spacing w:line="600" w:lineRule="exact"/>
        <w:ind w:right="160"/>
        <w:jc w:val="right"/>
        <w:rPr>
          <w:rFonts w:ascii="黑体" w:eastAsia="黑体"/>
          <w:b/>
          <w:szCs w:val="32"/>
          <w:u w:val="none"/>
          <w:lang w:val="en"/>
        </w:rPr>
      </w:pPr>
    </w:p>
    <w:p w14:paraId="6128BE2D">
      <w:pPr>
        <w:snapToGrid w:val="0"/>
        <w:spacing w:line="600" w:lineRule="exact"/>
        <w:ind w:right="160"/>
        <w:jc w:val="right"/>
        <w:rPr>
          <w:rFonts w:ascii="黑体" w:eastAsia="黑体"/>
          <w:b/>
          <w:szCs w:val="32"/>
          <w:u w:val="none"/>
        </w:rPr>
      </w:pPr>
      <w:r>
        <w:rPr>
          <w:rFonts w:hint="eastAsia" w:ascii="黑体" w:eastAsia="黑体"/>
          <w:b/>
          <w:szCs w:val="32"/>
          <w:u w:val="none"/>
        </w:rPr>
        <w:t xml:space="preserve">                                             </w:t>
      </w:r>
    </w:p>
    <w:p w14:paraId="7B51EA63">
      <w:pPr>
        <w:snapToGrid w:val="0"/>
        <w:spacing w:line="600" w:lineRule="exact"/>
        <w:ind w:right="1440"/>
        <w:rPr>
          <w:rFonts w:ascii="黑体" w:eastAsia="黑体"/>
          <w:b/>
          <w:szCs w:val="32"/>
          <w:u w:val="none"/>
        </w:rPr>
      </w:pPr>
      <w:bookmarkStart w:id="0" w:name="RedHead"/>
      <w:r>
        <w:rPr>
          <w:rFonts w:ascii="黑体" w:eastAsia="黑体"/>
          <w:b/>
          <w:szCs w:val="32"/>
          <w:u w:val="none"/>
        </w:rPr>
        <w:pict>
          <v:shape id="_x0000_s2050" o:spid="_x0000_s2050" o:spt="136" type="#_x0000_t136" style="position:absolute;left:0pt;margin-left:-4.3pt;margin-top:20.25pt;height:63.7pt;width:441.9pt;mso-wrap-distance-bottom:0pt;mso-wrap-distance-left:9pt;mso-wrap-distance-right:9pt;mso-wrap-distance-top:0pt;z-index:251664384;mso-width-relative:page;mso-height-relative:page;" fillcolor="#FF0000" filled="t" stroked="f" coordsize="21600,21600">
            <v:path/>
            <v:fill on="t" focussize="0,0"/>
            <v:stroke on="f"/>
            <v:imagedata o:title=""/>
            <o:lock v:ext="edit"/>
            <v:textpath on="t" fitshape="t" fitpath="t" trim="t" xscale="f" string="福建省科学技术厅文件" style="font-family:方正小标宋简体;font-size:63pt;v-text-align:center;"/>
            <v:shadow on="t" color="#B2B2B2" opacity="52428f" offset="0.000236220472440945pt,0pt"/>
            <w10:wrap type="square"/>
          </v:shape>
        </w:pict>
      </w:r>
      <w:bookmarkEnd w:id="0"/>
      <w:r>
        <w:rPr>
          <w:rFonts w:hint="eastAsia" w:ascii="黑体" w:eastAsia="黑体"/>
          <w:b/>
          <w:szCs w:val="32"/>
          <w:u w:val="none"/>
        </w:rPr>
        <w:t xml:space="preserve">        </w:t>
      </w:r>
    </w:p>
    <w:p w14:paraId="76D7DB9D">
      <w:pPr>
        <w:snapToGrid w:val="0"/>
        <w:spacing w:line="600" w:lineRule="exact"/>
        <w:ind w:right="1440"/>
        <w:rPr>
          <w:rFonts w:ascii="黑体" w:eastAsia="黑体"/>
          <w:b/>
          <w:szCs w:val="32"/>
          <w:u w:val="none"/>
        </w:rPr>
      </w:pPr>
      <w:r>
        <w:rPr>
          <w:rFonts w:hint="eastAsia" w:ascii="黑体" w:eastAsia="黑体"/>
          <w:b/>
          <w:szCs w:val="32"/>
          <w:u w:val="none"/>
        </w:rPr>
        <mc:AlternateContent>
          <mc:Choice Requires="wps">
            <w:drawing>
              <wp:anchor distT="0" distB="0" distL="114300" distR="114300" simplePos="0" relativeHeight="251662336" behindDoc="0" locked="0" layoutInCell="1" allowOverlap="1">
                <wp:simplePos x="0" y="0"/>
                <wp:positionH relativeFrom="column">
                  <wp:posOffset>1567180</wp:posOffset>
                </wp:positionH>
                <wp:positionV relativeFrom="paragraph">
                  <wp:posOffset>67310</wp:posOffset>
                </wp:positionV>
                <wp:extent cx="2584450" cy="382270"/>
                <wp:effectExtent l="0" t="0" r="0" b="0"/>
                <wp:wrapNone/>
                <wp:docPr id="6" name="文本框 77"/>
                <wp:cNvGraphicFramePr/>
                <a:graphic xmlns:a="http://schemas.openxmlformats.org/drawingml/2006/main">
                  <a:graphicData uri="http://schemas.microsoft.com/office/word/2010/wordprocessingShape">
                    <wps:wsp>
                      <wps:cNvSpPr txBox="1"/>
                      <wps:spPr>
                        <a:xfrm>
                          <a:off x="0" y="0"/>
                          <a:ext cx="2584450" cy="382270"/>
                        </a:xfrm>
                        <a:prstGeom prst="rect">
                          <a:avLst/>
                        </a:prstGeom>
                        <a:noFill/>
                        <a:ln>
                          <a:noFill/>
                        </a:ln>
                      </wps:spPr>
                      <wps:txbx>
                        <w:txbxContent>
                          <w:p w14:paraId="7EC12BFE">
                            <w:pPr>
                              <w:widowControl/>
                              <w:jc w:val="left"/>
                              <w:rPr>
                                <w:rFonts w:hint="default" w:ascii="仿宋" w:hAnsi="仿宋" w:eastAsia="方正仿宋_GBK" w:cs="仿宋"/>
                                <w:color w:val="000000"/>
                                <w:kern w:val="0"/>
                                <w:szCs w:val="32"/>
                                <w:lang w:val="en-US" w:eastAsia="zh-CN" w:bidi="ar"/>
                              </w:rPr>
                            </w:pPr>
                            <w:bookmarkStart w:id="10" w:name="dispatchnumber"/>
                            <w:r>
                              <w:rPr>
                                <w:rFonts w:hint="eastAsia" w:ascii="仿宋" w:hAnsi="仿宋" w:eastAsia="仿宋" w:cs="仿宋"/>
                                <w:color w:val="000000"/>
                                <w:kern w:val="0"/>
                                <w:szCs w:val="32"/>
                                <w:lang w:bidi="ar"/>
                              </w:rPr>
                              <w:t xml:space="preserve"> </w:t>
                            </w:r>
                            <w:r>
                              <w:rPr>
                                <w:rFonts w:hint="eastAsia" w:ascii="仿宋" w:hAnsi="仿宋" w:eastAsia="仿宋" w:cs="仿宋"/>
                                <w:color w:val="000000"/>
                                <w:kern w:val="0"/>
                                <w:szCs w:val="32"/>
                                <w:lang w:eastAsia="zh-CN" w:bidi="ar"/>
                              </w:rPr>
                              <w:t>闽科平</w:t>
                            </w:r>
                            <w:r>
                              <w:rPr>
                                <w:rFonts w:hint="eastAsia" w:ascii="方正仿宋_GBK" w:hAnsi="方正仿宋_GBK" w:eastAsia="方正仿宋_GBK" w:cs="方正仿宋_GBK"/>
                                <w:color w:val="000000"/>
                                <w:kern w:val="0"/>
                                <w:sz w:val="32"/>
                                <w:szCs w:val="32"/>
                                <w:lang w:bidi="ar"/>
                              </w:rPr>
                              <w:t>〔2026〕</w:t>
                            </w:r>
                            <w:r>
                              <w:rPr>
                                <w:rFonts w:hint="eastAsia" w:ascii="方正仿宋_GBK" w:hAnsi="方正仿宋_GBK" w:eastAsia="方正仿宋_GBK" w:cs="方正仿宋_GBK"/>
                                <w:color w:val="000000"/>
                                <w:kern w:val="0"/>
                                <w:sz w:val="32"/>
                                <w:szCs w:val="32"/>
                                <w:lang w:val="en-US" w:eastAsia="zh-CN" w:bidi="ar"/>
                              </w:rPr>
                              <w:t>8号</w:t>
                            </w:r>
                          </w:p>
                          <w:p w14:paraId="1001E532">
                            <w:pPr>
                              <w:widowControl/>
                              <w:ind w:firstLine="480" w:firstLineChars="150"/>
                              <w:jc w:val="left"/>
                              <w:rPr>
                                <w:rFonts w:ascii="仿宋" w:hAnsi="仿宋" w:eastAsia="仿宋" w:cs="仿宋"/>
                                <w:color w:val="000000"/>
                                <w:kern w:val="0"/>
                                <w:szCs w:val="32"/>
                                <w:lang w:bidi="ar"/>
                              </w:rPr>
                            </w:pPr>
                          </w:p>
                          <w:p w14:paraId="65F88D89">
                            <w:pPr>
                              <w:widowControl/>
                              <w:ind w:firstLine="480" w:firstLineChars="150"/>
                              <w:jc w:val="left"/>
                              <w:rPr>
                                <w:rFonts w:ascii="仿宋" w:hAnsi="仿宋" w:eastAsia="仿宋" w:cs="仿宋"/>
                                <w:color w:val="000000"/>
                                <w:kern w:val="0"/>
                                <w:szCs w:val="32"/>
                                <w:lang w:bidi="ar"/>
                              </w:rPr>
                            </w:pPr>
                          </w:p>
                          <w:bookmarkEnd w:id="10"/>
                          <w:p w14:paraId="00066700">
                            <w:pPr>
                              <w:jc w:val="center"/>
                            </w:pPr>
                          </w:p>
                        </w:txbxContent>
                      </wps:txbx>
                      <wps:bodyPr vert="horz" wrap="square" lIns="0" tIns="45720" rIns="0" bIns="45720" anchor="t" anchorCtr="0" upright="1"/>
                    </wps:wsp>
                  </a:graphicData>
                </a:graphic>
              </wp:anchor>
            </w:drawing>
          </mc:Choice>
          <mc:Fallback>
            <w:pict>
              <v:shape id="文本框 77" o:spid="_x0000_s1026" o:spt="202" type="#_x0000_t202" style="position:absolute;left:0pt;margin-left:123.4pt;margin-top:5.3pt;height:30.1pt;width:203.5pt;z-index:251662336;mso-width-relative:page;mso-height-relative:page;" filled="f" stroked="f" coordsize="21600,21600" o:gfxdata="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Aoit5rZAAAACQEA&#10;AA8AAAAAAAAAAQAgAAAAIgAAAGRycy9kb3ducmV2LnhtbFBLAQIUABQAAAAIAIdO4kBVo7c24AEA&#10;AK4DAAAOAAAAAAAAAAEAIAAAACgBAABkcnMvZTJvRG9jLnhtbFBLBQYAAAAABgAGAFkBAAB6BQAA&#10;AAA=&#10;">
                <v:fill on="f" focussize="0,0"/>
                <v:stroke on="f"/>
                <v:imagedata o:title=""/>
                <o:lock v:ext="edit" aspectratio="f"/>
                <v:textbox inset="0mm,1.27mm,0mm,1.27mm">
                  <w:txbxContent>
                    <w:p w14:paraId="7EC12BFE">
                      <w:pPr>
                        <w:widowControl/>
                        <w:jc w:val="left"/>
                        <w:rPr>
                          <w:rFonts w:hint="default" w:ascii="仿宋" w:hAnsi="仿宋" w:eastAsia="方正仿宋_GBK" w:cs="仿宋"/>
                          <w:color w:val="000000"/>
                          <w:kern w:val="0"/>
                          <w:szCs w:val="32"/>
                          <w:lang w:val="en-US" w:eastAsia="zh-CN" w:bidi="ar"/>
                        </w:rPr>
                      </w:pPr>
                      <w:bookmarkStart w:id="10" w:name="dispatchnumber"/>
                      <w:r>
                        <w:rPr>
                          <w:rFonts w:hint="eastAsia" w:ascii="仿宋" w:hAnsi="仿宋" w:eastAsia="仿宋" w:cs="仿宋"/>
                          <w:color w:val="000000"/>
                          <w:kern w:val="0"/>
                          <w:szCs w:val="32"/>
                          <w:lang w:bidi="ar"/>
                        </w:rPr>
                        <w:t xml:space="preserve"> </w:t>
                      </w:r>
                      <w:r>
                        <w:rPr>
                          <w:rFonts w:hint="eastAsia" w:ascii="仿宋" w:hAnsi="仿宋" w:eastAsia="仿宋" w:cs="仿宋"/>
                          <w:color w:val="000000"/>
                          <w:kern w:val="0"/>
                          <w:szCs w:val="32"/>
                          <w:lang w:eastAsia="zh-CN" w:bidi="ar"/>
                        </w:rPr>
                        <w:t>闽科平</w:t>
                      </w:r>
                      <w:r>
                        <w:rPr>
                          <w:rFonts w:hint="eastAsia" w:ascii="方正仿宋_GBK" w:hAnsi="方正仿宋_GBK" w:eastAsia="方正仿宋_GBK" w:cs="方正仿宋_GBK"/>
                          <w:color w:val="000000"/>
                          <w:kern w:val="0"/>
                          <w:sz w:val="32"/>
                          <w:szCs w:val="32"/>
                          <w:lang w:bidi="ar"/>
                        </w:rPr>
                        <w:t>〔2026〕</w:t>
                      </w:r>
                      <w:r>
                        <w:rPr>
                          <w:rFonts w:hint="eastAsia" w:ascii="方正仿宋_GBK" w:hAnsi="方正仿宋_GBK" w:eastAsia="方正仿宋_GBK" w:cs="方正仿宋_GBK"/>
                          <w:color w:val="000000"/>
                          <w:kern w:val="0"/>
                          <w:sz w:val="32"/>
                          <w:szCs w:val="32"/>
                          <w:lang w:val="en-US" w:eastAsia="zh-CN" w:bidi="ar"/>
                        </w:rPr>
                        <w:t>8号</w:t>
                      </w:r>
                    </w:p>
                    <w:p w14:paraId="1001E532">
                      <w:pPr>
                        <w:widowControl/>
                        <w:ind w:firstLine="480" w:firstLineChars="150"/>
                        <w:jc w:val="left"/>
                        <w:rPr>
                          <w:rFonts w:ascii="仿宋" w:hAnsi="仿宋" w:eastAsia="仿宋" w:cs="仿宋"/>
                          <w:color w:val="000000"/>
                          <w:kern w:val="0"/>
                          <w:szCs w:val="32"/>
                          <w:lang w:bidi="ar"/>
                        </w:rPr>
                      </w:pPr>
                    </w:p>
                    <w:p w14:paraId="65F88D89">
                      <w:pPr>
                        <w:widowControl/>
                        <w:ind w:firstLine="480" w:firstLineChars="150"/>
                        <w:jc w:val="left"/>
                        <w:rPr>
                          <w:rFonts w:ascii="仿宋" w:hAnsi="仿宋" w:eastAsia="仿宋" w:cs="仿宋"/>
                          <w:color w:val="000000"/>
                          <w:kern w:val="0"/>
                          <w:szCs w:val="32"/>
                          <w:lang w:bidi="ar"/>
                        </w:rPr>
                      </w:pPr>
                    </w:p>
                    <w:bookmarkEnd w:id="10"/>
                    <w:p w14:paraId="00066700">
                      <w:pPr>
                        <w:jc w:val="center"/>
                      </w:pPr>
                    </w:p>
                  </w:txbxContent>
                </v:textbox>
              </v:shape>
            </w:pict>
          </mc:Fallback>
        </mc:AlternateContent>
      </w:r>
      <w:r>
        <w:rPr>
          <w:rFonts w:hint="eastAsia" w:ascii="黑体" w:eastAsia="黑体"/>
          <w:b/>
          <w:szCs w:val="32"/>
          <w:u w:val="none"/>
        </w:rPr>
        <w:t xml:space="preserve">                                                     </w:t>
      </w:r>
    </w:p>
    <w:p w14:paraId="0E22C14C">
      <w:pPr>
        <w:snapToGrid w:val="0"/>
        <w:spacing w:line="580" w:lineRule="exact"/>
        <w:ind w:right="1440"/>
        <w:rPr>
          <w:rFonts w:ascii="黑体" w:eastAsia="黑体"/>
          <w:b/>
          <w:szCs w:val="32"/>
          <w:u w:val="none"/>
        </w:rPr>
      </w:pPr>
      <w:r>
        <w:rPr>
          <w:rFonts w:hint="eastAsia" w:ascii="黑体" w:eastAsia="黑体"/>
          <w:b/>
          <w:szCs w:val="32"/>
          <w:u w:val="none"/>
        </w:rPr>
        <mc:AlternateContent>
          <mc:Choice Requires="wps">
            <w:drawing>
              <wp:anchor distT="0" distB="0" distL="114300" distR="114300" simplePos="0" relativeHeight="251663360" behindDoc="0" locked="0" layoutInCell="1" allowOverlap="1">
                <wp:simplePos x="0" y="0"/>
                <wp:positionH relativeFrom="column">
                  <wp:posOffset>-120015</wp:posOffset>
                </wp:positionH>
                <wp:positionV relativeFrom="paragraph">
                  <wp:posOffset>215265</wp:posOffset>
                </wp:positionV>
                <wp:extent cx="5608320" cy="13335"/>
                <wp:effectExtent l="0" t="0" r="0" b="0"/>
                <wp:wrapNone/>
                <wp:docPr id="7" name="直线 78"/>
                <wp:cNvGraphicFramePr/>
                <a:graphic xmlns:a="http://schemas.openxmlformats.org/drawingml/2006/main">
                  <a:graphicData uri="http://schemas.microsoft.com/office/word/2010/wordprocessingShape">
                    <wps:wsp>
                      <wps:cNvCnPr/>
                      <wps:spPr>
                        <a:xfrm flipV="1">
                          <a:off x="0" y="0"/>
                          <a:ext cx="5608320" cy="13335"/>
                        </a:xfrm>
                        <a:prstGeom prst="line">
                          <a:avLst/>
                        </a:prstGeom>
                        <a:ln w="28575" cap="flat" cmpd="sng">
                          <a:solidFill>
                            <a:srgbClr val="FF0000"/>
                          </a:solidFill>
                          <a:prstDash val="solid"/>
                          <a:headEnd type="none" w="med" len="med"/>
                          <a:tailEnd type="none" w="med" len="med"/>
                        </a:ln>
                      </wps:spPr>
                      <wps:bodyPr/>
                    </wps:wsp>
                  </a:graphicData>
                </a:graphic>
              </wp:anchor>
            </w:drawing>
          </mc:Choice>
          <mc:Fallback>
            <w:pict>
              <v:line id="直线 78" o:spid="_x0000_s1026" o:spt="20" style="position:absolute;left:0pt;flip:y;margin-left:-9.45pt;margin-top:16.95pt;height:1.05pt;width:441.6pt;z-index:251663360;mso-width-relative:page;mso-height-relative:page;" filled="f" stroked="t" coordsize="21600,21600" o:gfxdata="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OVsXmfbAAAACQEAAA8AAAAAAAAAAQAgAAAAIgAAAGRycy9kb3ducmV2LnhtbFBLAQIUABQA&#10;AAAIAIdO4kAmE18K7QEAAN8DAAAOAAAAAAAAAAEAIAAAACoBAABkcnMvZTJvRG9jLnhtbFBLBQYA&#10;AAAABgAGAFkBAACJBQAAAAA=&#10;">
                <v:fill on="f" focussize="0,0"/>
                <v:stroke weight="2.25pt" color="#FF0000" joinstyle="round"/>
                <v:imagedata o:title=""/>
                <o:lock v:ext="edit" aspectratio="f"/>
              </v:line>
            </w:pict>
          </mc:Fallback>
        </mc:AlternateContent>
      </w:r>
      <w:r>
        <w:rPr>
          <w:rFonts w:hint="eastAsia" w:ascii="黑体" w:eastAsia="黑体"/>
          <w:b/>
          <w:szCs w:val="32"/>
          <w:u w:val="none"/>
        </w:rPr>
        <w:t xml:space="preserve">                                        </w:t>
      </w:r>
    </w:p>
    <w:p w14:paraId="5578BEE8">
      <w:pPr>
        <w:snapToGrid w:val="0"/>
        <w:spacing w:line="400" w:lineRule="exact"/>
        <w:ind w:right="1440"/>
        <w:rPr>
          <w:rFonts w:ascii="黑体" w:eastAsia="黑体"/>
          <w:b/>
          <w:szCs w:val="32"/>
          <w:u w:val="none"/>
        </w:rPr>
      </w:pPr>
      <w:r>
        <w:rPr>
          <w:rFonts w:hint="eastAsia" w:ascii="黑体" w:eastAsia="黑体"/>
          <w:b/>
          <w:szCs w:val="32"/>
          <w:u w:val="none"/>
        </w:rPr>
        <w:t xml:space="preserve">    </w:t>
      </w:r>
    </w:p>
    <w:p w14:paraId="794E2A74">
      <w:pPr>
        <w:snapToGrid w:val="0"/>
        <w:spacing w:line="400" w:lineRule="exact"/>
        <w:ind w:right="1440"/>
        <w:rPr>
          <w:rFonts w:ascii="黑体" w:eastAsia="黑体"/>
          <w:b/>
          <w:szCs w:val="32"/>
          <w:u w:val="none"/>
        </w:rPr>
      </w:pPr>
    </w:p>
    <w:p w14:paraId="5941AD38">
      <w:pPr>
        <w:snapToGrid w:val="0"/>
        <w:spacing w:line="580" w:lineRule="exact"/>
        <w:jc w:val="center"/>
        <w:rPr>
          <w:rFonts w:hint="eastAsia" w:ascii="方正小标宋简体" w:hAnsi="方正小标宋简体" w:eastAsia="方正小标宋简体" w:cs="方正小标宋简体"/>
          <w:bCs/>
          <w:sz w:val="44"/>
          <w:szCs w:val="44"/>
          <w:u w:val="none"/>
          <w:lang w:eastAsia="zh-CN"/>
        </w:rPr>
      </w:pPr>
      <w:bookmarkStart w:id="1" w:name="dispatchname"/>
      <w:r>
        <w:rPr>
          <w:rFonts w:hint="eastAsia" w:ascii="方正小标宋简体" w:hAnsi="方正小标宋简体" w:eastAsia="方正小标宋简体" w:cs="方正小标宋简体"/>
          <w:bCs/>
          <w:sz w:val="44"/>
          <w:szCs w:val="44"/>
          <w:u w:val="none"/>
          <w:lang w:eastAsia="zh-CN"/>
        </w:rPr>
        <w:t>福建省科学技术厅关于组织申报2026年度省“揭榜挂帅（科技重大专项）”</w:t>
      </w:r>
    </w:p>
    <w:p w14:paraId="437553DC">
      <w:pPr>
        <w:snapToGrid w:val="0"/>
        <w:spacing w:line="580" w:lineRule="exact"/>
        <w:jc w:val="center"/>
        <w:rPr>
          <w:rFonts w:ascii="方正小标宋_GBK" w:hAnsi="方正小标宋_GBK" w:eastAsia="方正小标宋_GBK" w:cs="方正小标宋_GBK"/>
          <w:bCs/>
          <w:sz w:val="44"/>
          <w:szCs w:val="44"/>
          <w:u w:val="none"/>
        </w:rPr>
      </w:pPr>
      <w:r>
        <w:rPr>
          <w:rFonts w:hint="eastAsia" w:ascii="方正小标宋简体" w:hAnsi="方正小标宋简体" w:eastAsia="方正小标宋简体" w:cs="方正小标宋简体"/>
          <w:bCs/>
          <w:sz w:val="44"/>
          <w:szCs w:val="44"/>
          <w:u w:val="none"/>
          <w:lang w:eastAsia="zh-CN"/>
        </w:rPr>
        <w:t>项目的通知</w:t>
      </w:r>
      <w:bookmarkEnd w:id="1"/>
      <w:r>
        <w:rPr>
          <w:rFonts w:hint="eastAsia" w:ascii="方正小标宋_GBK" w:hAnsi="方正小标宋_GBK" w:eastAsia="方正小标宋_GBK" w:cs="方正小标宋_GBK"/>
          <w:bCs/>
          <w:sz w:val="44"/>
          <w:szCs w:val="44"/>
          <w:u w:val="none"/>
        </w:rPr>
        <w:t xml:space="preserve">                                    </w:t>
      </w:r>
    </w:p>
    <w:p w14:paraId="1C1323AB">
      <w:pPr>
        <w:ind w:firstLine="680"/>
        <w:rPr>
          <w:rFonts w:hint="eastAsia" w:ascii="仿宋" w:hAnsi="仿宋" w:eastAsia="仿宋" w:cs="仿宋"/>
          <w:szCs w:val="32"/>
          <w:u w:val="none"/>
          <w:lang w:eastAsia="zh-CN"/>
        </w:rPr>
      </w:pPr>
      <w:bookmarkStart w:id="2" w:name="maindelivery"/>
    </w:p>
    <w:p w14:paraId="7809A7EB">
      <w:pPr>
        <w:rPr>
          <w:rFonts w:hint="eastAsia" w:ascii="仿宋" w:hAnsi="仿宋" w:eastAsia="仿宋" w:cs="仿宋"/>
          <w:szCs w:val="32"/>
          <w:u w:val="none"/>
          <w:lang w:eastAsia="zh-CN"/>
        </w:rPr>
      </w:pPr>
      <w:r>
        <w:rPr>
          <w:rFonts w:hint="eastAsia" w:ascii="仿宋" w:hAnsi="仿宋" w:eastAsia="仿宋" w:cs="仿宋"/>
          <w:szCs w:val="32"/>
          <w:u w:val="none"/>
          <w:lang w:eastAsia="zh-CN"/>
        </w:rPr>
        <w:t>有关单位</w:t>
      </w:r>
      <w:bookmarkEnd w:id="2"/>
      <w:bookmarkStart w:id="3" w:name="MainBody"/>
      <w:r>
        <w:rPr>
          <w:rFonts w:hint="eastAsia" w:ascii="仿宋" w:hAnsi="仿宋" w:eastAsia="仿宋" w:cs="仿宋"/>
          <w:szCs w:val="32"/>
          <w:u w:val="none"/>
          <w:lang w:eastAsia="zh-CN"/>
        </w:rPr>
        <w:t>：</w:t>
      </w:r>
    </w:p>
    <w:bookmarkEnd w:id="3"/>
    <w:p w14:paraId="509FC116">
      <w:pPr>
        <w:keepNext w:val="0"/>
        <w:keepLines w:val="0"/>
        <w:pageBreakBefore w:val="0"/>
        <w:kinsoku/>
        <w:overflowPunct/>
        <w:topLinePunct w:val="0"/>
        <w:autoSpaceDE/>
        <w:autoSpaceDN/>
        <w:bidi w:val="0"/>
        <w:spacing w:line="600" w:lineRule="exact"/>
        <w:ind w:firstLine="674" w:firstLineChars="200"/>
        <w:textAlignment w:val="auto"/>
        <w:rPr>
          <w:rFonts w:hint="eastAsia" w:ascii="仿宋_GB2312" w:hAnsi="仿宋_GB2312" w:eastAsia="仿宋_GB2312" w:cs="仿宋_GB2312"/>
          <w:bCs/>
          <w:szCs w:val="32"/>
          <w:u w:val="none"/>
        </w:rPr>
      </w:pPr>
      <w:r>
        <w:rPr>
          <w:rFonts w:hint="eastAsia" w:ascii="仿宋_GB2312" w:hAnsi="仿宋_GB2312" w:eastAsia="仿宋_GB2312" w:cs="仿宋_GB2312"/>
          <w:szCs w:val="32"/>
          <w:u w:val="none"/>
        </w:rPr>
        <w:t>为深入贯彻习近平总书记来闽考察时的重要讲话精神，聚焦科技创新与产业创新深度融合，按照省委、省政府工作部署，深入推行“揭榜挂帅”等科研攻关机制，梳理我省重点产业发展中亟需解决的关键技术难题，大力推进关键核心技术攻关</w:t>
      </w:r>
      <w:r>
        <w:rPr>
          <w:rFonts w:hint="eastAsia" w:ascii="仿宋_GB2312" w:hAnsi="仿宋_GB2312" w:cs="仿宋_GB2312"/>
          <w:szCs w:val="32"/>
          <w:u w:val="none"/>
          <w:lang w:eastAsia="zh-CN"/>
        </w:rPr>
        <w:t>，强化技术</w:t>
      </w:r>
      <w:r>
        <w:rPr>
          <w:rFonts w:hint="eastAsia" w:ascii="仿宋_GB2312" w:hAnsi="仿宋_GB2312" w:eastAsia="仿宋_GB2312" w:cs="仿宋_GB2312"/>
          <w:bCs/>
          <w:szCs w:val="32"/>
          <w:u w:val="none"/>
        </w:rPr>
        <w:t>标准研制</w:t>
      </w:r>
      <w:r>
        <w:rPr>
          <w:rFonts w:hint="eastAsia" w:ascii="仿宋_GB2312" w:hAnsi="仿宋_GB2312" w:eastAsia="仿宋_GB2312" w:cs="仿宋_GB2312"/>
          <w:szCs w:val="32"/>
          <w:u w:val="none"/>
        </w:rPr>
        <w:t>，进一步提升重点产业自主创新能力和核心竞争力</w:t>
      </w:r>
      <w:r>
        <w:rPr>
          <w:rFonts w:hint="eastAsia" w:ascii="仿宋_GB2312" w:hAnsi="仿宋_GB2312" w:cs="仿宋_GB2312"/>
          <w:szCs w:val="32"/>
          <w:u w:val="none"/>
          <w:lang w:eastAsia="zh-CN"/>
        </w:rPr>
        <w:t>，加强科技安全支撑</w:t>
      </w:r>
      <w:r>
        <w:rPr>
          <w:rFonts w:hint="eastAsia" w:ascii="仿宋_GB2312" w:hAnsi="仿宋_GB2312" w:eastAsia="仿宋_GB2312" w:cs="仿宋_GB2312"/>
          <w:szCs w:val="32"/>
          <w:u w:val="none"/>
        </w:rPr>
        <w:t>。</w:t>
      </w:r>
      <w:r>
        <w:rPr>
          <w:rFonts w:hint="eastAsia" w:ascii="仿宋_GB2312" w:hAnsi="仿宋_GB2312" w:eastAsia="仿宋_GB2312" w:cs="仿宋_GB2312"/>
          <w:bCs/>
          <w:szCs w:val="32"/>
          <w:u w:val="none"/>
        </w:rPr>
        <w:t>省科技厅公开征集了202</w:t>
      </w:r>
      <w:r>
        <w:rPr>
          <w:rFonts w:hint="eastAsia" w:ascii="仿宋_GB2312" w:hAnsi="仿宋_GB2312" w:eastAsia="仿宋_GB2312" w:cs="仿宋_GB2312"/>
          <w:bCs/>
          <w:szCs w:val="32"/>
          <w:u w:val="none"/>
          <w:lang w:val="en-US" w:eastAsia="zh-CN"/>
        </w:rPr>
        <w:t>6</w:t>
      </w:r>
      <w:r>
        <w:rPr>
          <w:rFonts w:hint="eastAsia" w:ascii="仿宋_GB2312" w:hAnsi="仿宋_GB2312" w:eastAsia="仿宋_GB2312" w:cs="仿宋_GB2312"/>
          <w:bCs/>
          <w:szCs w:val="32"/>
          <w:u w:val="none"/>
        </w:rPr>
        <w:t>年度省“揭榜挂帅（科技重大专项）”项目重大技术需求（难题），</w:t>
      </w:r>
      <w:r>
        <w:rPr>
          <w:rFonts w:hint="eastAsia" w:ascii="仿宋_GB2312" w:hAnsi="仿宋_GB2312" w:eastAsia="仿宋_GB2312" w:cs="仿宋_GB2312"/>
          <w:bCs/>
          <w:szCs w:val="32"/>
          <w:u w:val="none"/>
          <w:lang w:eastAsia="zh-CN"/>
        </w:rPr>
        <w:t>经过对</w:t>
      </w:r>
      <w:r>
        <w:rPr>
          <w:rFonts w:hint="eastAsia" w:ascii="仿宋_GB2312" w:hAnsi="仿宋_GB2312" w:eastAsia="仿宋_GB2312" w:cs="仿宋_GB2312"/>
          <w:bCs/>
          <w:szCs w:val="32"/>
          <w:u w:val="none"/>
        </w:rPr>
        <w:t>相关选题和榜单</w:t>
      </w:r>
      <w:r>
        <w:rPr>
          <w:rFonts w:hint="eastAsia" w:ascii="仿宋_GB2312" w:hAnsi="仿宋_GB2312" w:eastAsia="仿宋_GB2312" w:cs="仿宋_GB2312"/>
          <w:bCs/>
          <w:szCs w:val="32"/>
          <w:u w:val="none"/>
          <w:lang w:eastAsia="zh-CN"/>
        </w:rPr>
        <w:t>的</w:t>
      </w:r>
      <w:r>
        <w:rPr>
          <w:rFonts w:hint="eastAsia" w:ascii="仿宋_GB2312" w:hAnsi="仿宋_GB2312" w:eastAsia="仿宋_GB2312" w:cs="仿宋_GB2312"/>
          <w:bCs/>
          <w:szCs w:val="32"/>
          <w:u w:val="none"/>
        </w:rPr>
        <w:t>调研论证，凝练形成了202</w:t>
      </w:r>
      <w:r>
        <w:rPr>
          <w:rFonts w:hint="eastAsia" w:ascii="仿宋_GB2312" w:hAnsi="仿宋_GB2312" w:eastAsia="仿宋_GB2312" w:cs="仿宋_GB2312"/>
          <w:bCs/>
          <w:szCs w:val="32"/>
          <w:u w:val="none"/>
          <w:lang w:val="en-US" w:eastAsia="zh-CN"/>
        </w:rPr>
        <w:t>6</w:t>
      </w:r>
      <w:r>
        <w:rPr>
          <w:rFonts w:hint="eastAsia" w:ascii="仿宋_GB2312" w:hAnsi="仿宋_GB2312" w:eastAsia="仿宋_GB2312" w:cs="仿宋_GB2312"/>
          <w:bCs/>
          <w:szCs w:val="32"/>
          <w:u w:val="none"/>
        </w:rPr>
        <w:t>年度省“揭榜挂帅（科技重大专项）”项目</w:t>
      </w:r>
      <w:r>
        <w:rPr>
          <w:rFonts w:hint="eastAsia" w:ascii="仿宋_GB2312" w:hAnsi="仿宋_GB2312" w:eastAsia="仿宋_GB2312" w:cs="仿宋_GB2312"/>
          <w:bCs/>
          <w:szCs w:val="32"/>
          <w:u w:val="none"/>
          <w:lang w:eastAsia="zh-CN"/>
        </w:rPr>
        <w:t>榜单（选题）</w:t>
      </w:r>
      <w:r>
        <w:rPr>
          <w:rFonts w:hint="eastAsia" w:ascii="仿宋_GB2312" w:hAnsi="仿宋_GB2312" w:eastAsia="仿宋_GB2312" w:cs="仿宋_GB2312"/>
          <w:bCs/>
          <w:szCs w:val="32"/>
          <w:u w:val="none"/>
        </w:rPr>
        <w:t>。现将项目申报有关事项通知如下：</w:t>
      </w:r>
    </w:p>
    <w:p w14:paraId="4040F1C2">
      <w:pPr>
        <w:keepNext w:val="0"/>
        <w:keepLines w:val="0"/>
        <w:pageBreakBefore w:val="0"/>
        <w:numPr>
          <w:ilvl w:val="-1"/>
          <w:numId w:val="0"/>
        </w:numPr>
        <w:kinsoku/>
        <w:overflowPunct/>
        <w:topLinePunct w:val="0"/>
        <w:autoSpaceDE/>
        <w:autoSpaceDN/>
        <w:bidi w:val="0"/>
        <w:spacing w:line="600" w:lineRule="exact"/>
        <w:ind w:firstLine="674" w:firstLineChars="200"/>
        <w:textAlignment w:val="auto"/>
        <w:outlineLvl w:val="0"/>
        <w:rPr>
          <w:rFonts w:hint="eastAsia" w:ascii="黑体" w:eastAsia="黑体"/>
          <w:szCs w:val="32"/>
          <w:u w:val="none"/>
        </w:rPr>
      </w:pPr>
      <w:r>
        <w:rPr>
          <w:rFonts w:hint="eastAsia" w:ascii="黑体" w:eastAsia="黑体"/>
          <w:szCs w:val="32"/>
          <w:u w:val="none"/>
          <w:lang w:eastAsia="zh-CN"/>
        </w:rPr>
        <w:t>一、</w:t>
      </w:r>
      <w:r>
        <w:rPr>
          <w:rFonts w:hint="eastAsia" w:ascii="黑体" w:eastAsia="黑体"/>
          <w:szCs w:val="32"/>
          <w:u w:val="none"/>
        </w:rPr>
        <w:t>申报条件和要求</w:t>
      </w:r>
    </w:p>
    <w:p w14:paraId="082281D4">
      <w:pPr>
        <w:keepNext w:val="0"/>
        <w:keepLines w:val="0"/>
        <w:pageBreakBefore w:val="0"/>
        <w:kinsoku/>
        <w:overflowPunct/>
        <w:topLinePunct w:val="0"/>
        <w:autoSpaceDE/>
        <w:autoSpaceDN/>
        <w:bidi w:val="0"/>
        <w:spacing w:line="600" w:lineRule="exact"/>
        <w:ind w:firstLine="674" w:firstLineChars="200"/>
        <w:textAlignment w:val="auto"/>
        <w:rPr>
          <w:rFonts w:hint="eastAsia" w:ascii="仿宋_GB2312" w:hAnsi="宋体" w:cs="宋体"/>
          <w:szCs w:val="32"/>
          <w:u w:val="none"/>
        </w:rPr>
      </w:pPr>
      <w:r>
        <w:rPr>
          <w:rFonts w:hint="eastAsia" w:ascii="仿宋_GB2312"/>
          <w:szCs w:val="32"/>
          <w:u w:val="none"/>
        </w:rPr>
        <w:t>（一）</w:t>
      </w:r>
      <w:r>
        <w:rPr>
          <w:rFonts w:hint="eastAsia" w:ascii="仿宋_GB2312" w:hAnsi="宋体" w:cs="宋体"/>
          <w:szCs w:val="32"/>
          <w:u w:val="none"/>
        </w:rPr>
        <w:t>202</w:t>
      </w:r>
      <w:r>
        <w:rPr>
          <w:rFonts w:hint="eastAsia" w:ascii="仿宋_GB2312" w:hAnsi="宋体" w:cs="宋体"/>
          <w:szCs w:val="32"/>
          <w:u w:val="none"/>
          <w:lang w:val="en-US" w:eastAsia="zh-CN"/>
        </w:rPr>
        <w:t>6</w:t>
      </w:r>
      <w:r>
        <w:rPr>
          <w:rFonts w:hint="eastAsia" w:ascii="仿宋_GB2312" w:hAnsi="宋体" w:cs="宋体"/>
          <w:szCs w:val="32"/>
          <w:u w:val="none"/>
        </w:rPr>
        <w:t>年度</w:t>
      </w:r>
      <w:r>
        <w:rPr>
          <w:rFonts w:hint="eastAsia" w:ascii="仿宋_GB2312" w:hAnsi="宋体" w:cs="宋体"/>
          <w:szCs w:val="32"/>
          <w:u w:val="none"/>
          <w:lang w:eastAsia="zh-CN"/>
        </w:rPr>
        <w:t>省</w:t>
      </w:r>
      <w:r>
        <w:rPr>
          <w:rFonts w:hint="eastAsia" w:ascii="仿宋_GB2312"/>
          <w:szCs w:val="32"/>
          <w:u w:val="none"/>
        </w:rPr>
        <w:t>“揭榜挂帅”项目牵头揭榜单位应按照</w:t>
      </w:r>
      <w:r>
        <w:rPr>
          <w:rFonts w:hint="eastAsia" w:ascii="仿宋_GB2312" w:hAnsi="宋体" w:cs="宋体"/>
          <w:szCs w:val="32"/>
          <w:u w:val="none"/>
        </w:rPr>
        <w:t>202</w:t>
      </w:r>
      <w:r>
        <w:rPr>
          <w:rFonts w:hint="eastAsia" w:ascii="仿宋_GB2312" w:hAnsi="宋体" w:cs="宋体"/>
          <w:szCs w:val="32"/>
          <w:u w:val="none"/>
          <w:lang w:val="en-US" w:eastAsia="zh-CN"/>
        </w:rPr>
        <w:t>6</w:t>
      </w:r>
      <w:r>
        <w:rPr>
          <w:rFonts w:hint="eastAsia" w:ascii="仿宋_GB2312" w:hAnsi="宋体" w:cs="宋体"/>
          <w:szCs w:val="32"/>
          <w:u w:val="none"/>
        </w:rPr>
        <w:t>年度</w:t>
      </w:r>
      <w:r>
        <w:rPr>
          <w:rFonts w:hint="eastAsia" w:ascii="仿宋_GB2312" w:hAnsi="宋体" w:cs="宋体"/>
          <w:szCs w:val="32"/>
          <w:u w:val="none"/>
          <w:lang w:eastAsia="zh-CN"/>
        </w:rPr>
        <w:t>省</w:t>
      </w:r>
      <w:r>
        <w:rPr>
          <w:rFonts w:hint="eastAsia" w:ascii="仿宋_GB2312"/>
          <w:szCs w:val="32"/>
          <w:u w:val="none"/>
        </w:rPr>
        <w:t>“揭榜挂帅”榜单（详见附件</w:t>
      </w:r>
      <w:r>
        <w:rPr>
          <w:rFonts w:hint="eastAsia" w:ascii="仿宋_GB2312"/>
          <w:szCs w:val="32"/>
          <w:u w:val="none"/>
          <w:lang w:val="en-US" w:eastAsia="zh-CN"/>
        </w:rPr>
        <w:t>1</w:t>
      </w:r>
      <w:r>
        <w:rPr>
          <w:rFonts w:hint="eastAsia" w:ascii="仿宋_GB2312"/>
          <w:szCs w:val="32"/>
          <w:u w:val="none"/>
        </w:rPr>
        <w:t>）所规定的项目建设内容、</w:t>
      </w:r>
      <w:r>
        <w:rPr>
          <w:rFonts w:ascii="仿宋_GB2312"/>
          <w:szCs w:val="32"/>
          <w:u w:val="none"/>
        </w:rPr>
        <w:t>预期技术目标</w:t>
      </w:r>
      <w:r>
        <w:rPr>
          <w:rFonts w:hint="eastAsia" w:ascii="仿宋_GB2312"/>
          <w:szCs w:val="32"/>
          <w:u w:val="none"/>
        </w:rPr>
        <w:t>、</w:t>
      </w:r>
      <w:r>
        <w:rPr>
          <w:rFonts w:ascii="仿宋_GB2312"/>
          <w:szCs w:val="32"/>
          <w:u w:val="none"/>
        </w:rPr>
        <w:t>时限</w:t>
      </w:r>
      <w:r>
        <w:rPr>
          <w:rFonts w:hint="eastAsia" w:ascii="仿宋_GB2312"/>
          <w:szCs w:val="32"/>
          <w:u w:val="none"/>
        </w:rPr>
        <w:t>等要求申报。</w:t>
      </w:r>
      <w:r>
        <w:rPr>
          <w:rFonts w:hint="eastAsia" w:ascii="仿宋_GB2312" w:hAnsi="宋体" w:cs="宋体"/>
          <w:szCs w:val="32"/>
          <w:u w:val="none"/>
        </w:rPr>
        <w:t>202</w:t>
      </w:r>
      <w:r>
        <w:rPr>
          <w:rFonts w:hint="eastAsia" w:ascii="仿宋_GB2312" w:hAnsi="宋体" w:cs="宋体"/>
          <w:szCs w:val="32"/>
          <w:u w:val="none"/>
          <w:lang w:val="en-US" w:eastAsia="zh-CN"/>
        </w:rPr>
        <w:t>6</w:t>
      </w:r>
      <w:r>
        <w:rPr>
          <w:rFonts w:hint="eastAsia" w:ascii="仿宋_GB2312" w:hAnsi="宋体" w:cs="宋体"/>
          <w:szCs w:val="32"/>
          <w:u w:val="none"/>
        </w:rPr>
        <w:t>年度</w:t>
      </w:r>
      <w:r>
        <w:rPr>
          <w:rFonts w:hint="eastAsia" w:ascii="仿宋_GB2312"/>
          <w:szCs w:val="32"/>
          <w:u w:val="none"/>
        </w:rPr>
        <w:t>省</w:t>
      </w:r>
      <w:r>
        <w:rPr>
          <w:rFonts w:hint="eastAsia" w:ascii="仿宋_GB2312"/>
          <w:szCs w:val="32"/>
          <w:u w:val="none"/>
          <w:lang w:eastAsia="zh-CN"/>
        </w:rPr>
        <w:t>科技重大专项</w:t>
      </w:r>
      <w:r>
        <w:rPr>
          <w:rFonts w:hint="eastAsia" w:ascii="仿宋_GB2312"/>
          <w:szCs w:val="32"/>
          <w:u w:val="none"/>
        </w:rPr>
        <w:t>项目</w:t>
      </w:r>
      <w:r>
        <w:rPr>
          <w:rFonts w:hint="eastAsia" w:ascii="仿宋_GB2312" w:hAnsi="宋体" w:cs="宋体"/>
          <w:szCs w:val="32"/>
          <w:u w:val="none"/>
        </w:rPr>
        <w:t>应按照“202</w:t>
      </w:r>
      <w:r>
        <w:rPr>
          <w:rFonts w:hint="eastAsia" w:ascii="仿宋_GB2312" w:hAnsi="宋体" w:cs="宋体"/>
          <w:szCs w:val="32"/>
          <w:u w:val="none"/>
          <w:lang w:val="en-US" w:eastAsia="zh-CN"/>
        </w:rPr>
        <w:t>6</w:t>
      </w:r>
      <w:r>
        <w:rPr>
          <w:rFonts w:hint="eastAsia" w:ascii="仿宋_GB2312" w:hAnsi="宋体" w:cs="宋体"/>
          <w:szCs w:val="32"/>
          <w:u w:val="none"/>
        </w:rPr>
        <w:t>年省科技重大专项</w:t>
      </w:r>
      <w:r>
        <w:rPr>
          <w:rFonts w:hint="eastAsia" w:ascii="仿宋_GB2312" w:hAnsi="宋体" w:cs="宋体"/>
          <w:color w:val="auto"/>
          <w:szCs w:val="32"/>
          <w:u w:val="none"/>
          <w:lang w:eastAsia="zh-CN"/>
        </w:rPr>
        <w:t>项目</w:t>
      </w:r>
      <w:r>
        <w:rPr>
          <w:rFonts w:hint="eastAsia" w:ascii="仿宋_GB2312" w:hAnsi="宋体" w:cs="宋体"/>
          <w:szCs w:val="32"/>
          <w:u w:val="none"/>
        </w:rPr>
        <w:t>申报选题表”（</w:t>
      </w:r>
      <w:r>
        <w:rPr>
          <w:rFonts w:hint="eastAsia" w:ascii="仿宋_GB2312"/>
          <w:szCs w:val="32"/>
          <w:u w:val="none"/>
        </w:rPr>
        <w:t>详见</w:t>
      </w:r>
      <w:r>
        <w:rPr>
          <w:rFonts w:hint="eastAsia" w:ascii="仿宋_GB2312" w:hAnsi="宋体" w:cs="宋体"/>
          <w:szCs w:val="32"/>
          <w:u w:val="none"/>
        </w:rPr>
        <w:t>附件</w:t>
      </w:r>
      <w:r>
        <w:rPr>
          <w:rFonts w:hint="eastAsia" w:ascii="仿宋_GB2312" w:hAnsi="宋体" w:cs="宋体"/>
          <w:szCs w:val="32"/>
          <w:u w:val="none"/>
          <w:lang w:val="en-US" w:eastAsia="zh-CN"/>
        </w:rPr>
        <w:t>2</w:t>
      </w:r>
      <w:r>
        <w:rPr>
          <w:rFonts w:hint="eastAsia" w:ascii="仿宋_GB2312" w:hAnsi="宋体" w:cs="宋体"/>
          <w:szCs w:val="32"/>
          <w:u w:val="none"/>
        </w:rPr>
        <w:t>）所规定的</w:t>
      </w:r>
      <w:r>
        <w:rPr>
          <w:rFonts w:hint="eastAsia" w:ascii="仿宋_GB2312"/>
          <w:szCs w:val="32"/>
          <w:u w:val="none"/>
        </w:rPr>
        <w:t>要求申报。</w:t>
      </w:r>
      <w:r>
        <w:rPr>
          <w:rFonts w:hint="eastAsia" w:ascii="仿宋_GB2312" w:hAnsi="宋体" w:cs="宋体"/>
          <w:szCs w:val="32"/>
          <w:u w:val="none"/>
        </w:rPr>
        <w:t>目标任务应明确具体，体现项目创新性，预期技术指标应量化可考核，在项目完成时能形成具有自主知识产权的技术成果和产业化指标。</w:t>
      </w:r>
    </w:p>
    <w:p w14:paraId="03EF9BBE">
      <w:pPr>
        <w:keepNext w:val="0"/>
        <w:keepLines w:val="0"/>
        <w:pageBreakBefore w:val="0"/>
        <w:kinsoku/>
        <w:overflowPunct/>
        <w:topLinePunct w:val="0"/>
        <w:autoSpaceDE/>
        <w:autoSpaceDN/>
        <w:bidi w:val="0"/>
        <w:spacing w:line="600" w:lineRule="exact"/>
        <w:ind w:firstLine="674" w:firstLineChars="200"/>
        <w:textAlignment w:val="auto"/>
        <w:rPr>
          <w:rFonts w:hint="eastAsia" w:ascii="仿宋_GB2312" w:hAnsi="宋体" w:cs="宋体"/>
          <w:szCs w:val="32"/>
          <w:u w:val="none"/>
        </w:rPr>
      </w:pPr>
      <w:r>
        <w:rPr>
          <w:rFonts w:hint="eastAsia" w:ascii="仿宋_GB2312" w:hAnsi="宋体" w:cs="宋体"/>
          <w:szCs w:val="32"/>
          <w:u w:val="none"/>
        </w:rPr>
        <w:t>项目研发内容</w:t>
      </w:r>
      <w:r>
        <w:rPr>
          <w:rFonts w:hint="eastAsia" w:ascii="仿宋_GB2312" w:hAnsi="宋体" w:cs="宋体"/>
          <w:szCs w:val="32"/>
          <w:u w:val="none"/>
          <w:lang w:eastAsia="zh-CN"/>
        </w:rPr>
        <w:t>（成果转化）</w:t>
      </w:r>
      <w:r>
        <w:rPr>
          <w:rFonts w:hint="eastAsia" w:ascii="仿宋_GB2312" w:hAnsi="宋体" w:cs="宋体"/>
          <w:szCs w:val="32"/>
          <w:u w:val="none"/>
        </w:rPr>
        <w:t>不得多头重复申报，不得与</w:t>
      </w:r>
      <w:r>
        <w:rPr>
          <w:rFonts w:hint="eastAsia" w:ascii="仿宋_GB2312" w:hAnsi="宋体" w:cs="宋体"/>
          <w:szCs w:val="32"/>
          <w:u w:val="none"/>
          <w:lang w:eastAsia="zh-CN"/>
        </w:rPr>
        <w:t>国家有关部委和</w:t>
      </w:r>
      <w:r>
        <w:rPr>
          <w:rFonts w:hint="eastAsia" w:ascii="仿宋_GB2312" w:hAnsi="宋体" w:cs="宋体"/>
          <w:szCs w:val="32"/>
          <w:u w:val="none"/>
        </w:rPr>
        <w:t>省直有关单位使用财政资金资助的已立项项目相同或类似</w:t>
      </w:r>
      <w:r>
        <w:rPr>
          <w:rFonts w:hint="eastAsia" w:ascii="仿宋_GB2312" w:hAnsi="宋体" w:cs="宋体"/>
          <w:szCs w:val="32"/>
          <w:u w:val="none"/>
          <w:lang w:eastAsia="zh-CN"/>
        </w:rPr>
        <w:t>，一经发现，取消立项并收回项目资助经费，按相关规定处理</w:t>
      </w:r>
      <w:r>
        <w:rPr>
          <w:rFonts w:hint="eastAsia" w:ascii="仿宋_GB2312" w:hAnsi="宋体" w:cs="宋体"/>
          <w:szCs w:val="32"/>
          <w:u w:val="none"/>
        </w:rPr>
        <w:t>。</w:t>
      </w:r>
      <w:r>
        <w:rPr>
          <w:rFonts w:hint="eastAsia" w:ascii="仿宋_GB2312"/>
          <w:szCs w:val="32"/>
          <w:u w:val="none"/>
        </w:rPr>
        <w:t>揭榜</w:t>
      </w:r>
      <w:r>
        <w:rPr>
          <w:rFonts w:hint="eastAsia" w:ascii="仿宋_GB2312"/>
          <w:szCs w:val="32"/>
          <w:u w:val="none"/>
          <w:lang w:eastAsia="zh-CN"/>
        </w:rPr>
        <w:t>（申报）</w:t>
      </w:r>
      <w:r>
        <w:rPr>
          <w:rFonts w:hint="eastAsia" w:ascii="仿宋_GB2312" w:hAnsi="宋体" w:cs="宋体"/>
          <w:szCs w:val="32"/>
          <w:u w:val="none"/>
          <w:lang w:eastAsia="zh-CN"/>
        </w:rPr>
        <w:t>单位需作出承诺“不存在多头申报和重复申报等情况，如有违反，本单位愿承担由此产生的一切法律责任及后果，并全额退还已获得的财政资助经费”。</w:t>
      </w:r>
    </w:p>
    <w:p w14:paraId="58321A9D">
      <w:pPr>
        <w:keepNext w:val="0"/>
        <w:keepLines w:val="0"/>
        <w:pageBreakBefore w:val="0"/>
        <w:kinsoku/>
        <w:overflowPunct/>
        <w:topLinePunct w:val="0"/>
        <w:autoSpaceDE/>
        <w:autoSpaceDN/>
        <w:bidi w:val="0"/>
        <w:spacing w:line="600" w:lineRule="exact"/>
        <w:ind w:firstLine="674" w:firstLineChars="200"/>
        <w:textAlignment w:val="auto"/>
        <w:rPr>
          <w:rFonts w:hint="eastAsia" w:ascii="仿宋_GB2312"/>
          <w:szCs w:val="32"/>
          <w:u w:val="none"/>
        </w:rPr>
      </w:pPr>
      <w:r>
        <w:rPr>
          <w:rFonts w:hint="eastAsia" w:ascii="仿宋_GB2312"/>
          <w:szCs w:val="32"/>
          <w:u w:val="none"/>
        </w:rPr>
        <w:t>（</w:t>
      </w:r>
      <w:r>
        <w:rPr>
          <w:rFonts w:hint="eastAsia" w:ascii="仿宋_GB2312"/>
          <w:szCs w:val="32"/>
          <w:u w:val="none"/>
          <w:lang w:eastAsia="zh-CN"/>
        </w:rPr>
        <w:t>二</w:t>
      </w:r>
      <w:r>
        <w:rPr>
          <w:rFonts w:hint="eastAsia" w:ascii="仿宋_GB2312"/>
          <w:szCs w:val="32"/>
          <w:u w:val="none"/>
        </w:rPr>
        <w:t>）</w:t>
      </w:r>
      <w:r>
        <w:rPr>
          <w:rFonts w:hint="eastAsia" w:ascii="仿宋_GB2312"/>
          <w:szCs w:val="32"/>
          <w:u w:val="none"/>
          <w:lang w:val="en-US" w:eastAsia="zh-CN"/>
        </w:rPr>
        <w:t>2026年度省</w:t>
      </w:r>
      <w:r>
        <w:rPr>
          <w:rFonts w:hint="eastAsia" w:ascii="仿宋_GB2312"/>
          <w:szCs w:val="32"/>
          <w:u w:val="none"/>
        </w:rPr>
        <w:t>“揭榜挂帅”项目的牵头揭榜单位必须与福建省需求单位</w:t>
      </w:r>
      <w:r>
        <w:rPr>
          <w:rFonts w:hint="eastAsia" w:ascii="仿宋_GB2312"/>
          <w:szCs w:val="32"/>
          <w:u w:val="none"/>
          <w:lang w:eastAsia="zh-CN"/>
        </w:rPr>
        <w:t>（或转化成果持有方）</w:t>
      </w:r>
      <w:r>
        <w:rPr>
          <w:rFonts w:hint="eastAsia" w:ascii="仿宋_GB2312"/>
          <w:szCs w:val="32"/>
          <w:u w:val="none"/>
        </w:rPr>
        <w:t>联合申报项目，揭榜单位与福建省需求单位签订合作协议</w:t>
      </w:r>
      <w:r>
        <w:rPr>
          <w:rFonts w:hint="eastAsia" w:ascii="仿宋_GB2312"/>
          <w:szCs w:val="32"/>
          <w:u w:val="none"/>
          <w:lang w:eastAsia="zh-CN"/>
        </w:rPr>
        <w:t>（或联合申报协议）</w:t>
      </w:r>
      <w:r>
        <w:rPr>
          <w:rFonts w:hint="eastAsia" w:ascii="仿宋_GB2312"/>
          <w:szCs w:val="32"/>
          <w:u w:val="none"/>
        </w:rPr>
        <w:t>，揭榜单位负责技术攻关（成果转化），省内技术需求企业（成果转化</w:t>
      </w:r>
      <w:r>
        <w:rPr>
          <w:rFonts w:hint="eastAsia" w:ascii="仿宋_GB2312"/>
          <w:szCs w:val="32"/>
          <w:u w:val="none"/>
          <w:lang w:eastAsia="zh-CN"/>
        </w:rPr>
        <w:t>企业</w:t>
      </w:r>
      <w:r>
        <w:rPr>
          <w:rFonts w:hint="eastAsia" w:ascii="仿宋_GB2312"/>
          <w:szCs w:val="32"/>
          <w:u w:val="none"/>
        </w:rPr>
        <w:t>）负责</w:t>
      </w:r>
      <w:r>
        <w:rPr>
          <w:rFonts w:hint="eastAsia" w:ascii="仿宋_GB2312" w:hAnsi="宋体"/>
          <w:szCs w:val="32"/>
          <w:u w:val="none"/>
        </w:rPr>
        <w:t>提供承诺的“揭榜挂帅”项目科研投入，且能够提供项目研发实施的支持和配套条件，在项目研发攻关成功后能率先在本单位应用并</w:t>
      </w:r>
      <w:r>
        <w:rPr>
          <w:rFonts w:ascii="仿宋_GB2312"/>
          <w:szCs w:val="32"/>
          <w:u w:val="none"/>
        </w:rPr>
        <w:t>承接</w:t>
      </w:r>
      <w:r>
        <w:rPr>
          <w:rFonts w:hint="eastAsia" w:ascii="仿宋_GB2312"/>
          <w:szCs w:val="32"/>
          <w:u w:val="none"/>
          <w:lang w:eastAsia="zh-CN"/>
        </w:rPr>
        <w:t>（转化）</w:t>
      </w:r>
      <w:r>
        <w:rPr>
          <w:rFonts w:hint="eastAsia" w:ascii="仿宋_GB2312"/>
          <w:szCs w:val="32"/>
          <w:u w:val="none"/>
        </w:rPr>
        <w:t>科技成果。</w:t>
      </w:r>
      <w:r>
        <w:rPr>
          <w:rFonts w:hint="eastAsia" w:ascii="仿宋_GB2312" w:hAnsi="宋体" w:cs="宋体"/>
          <w:szCs w:val="32"/>
          <w:u w:val="none"/>
        </w:rPr>
        <w:t>产学研合作协议内容应包括</w:t>
      </w:r>
      <w:r>
        <w:rPr>
          <w:rFonts w:hint="eastAsia" w:ascii="仿宋_GB2312" w:hAnsi="宋体"/>
          <w:szCs w:val="32"/>
          <w:u w:val="none"/>
        </w:rPr>
        <w:t>对需求方和揭榜方于具体的责任和义务，包括</w:t>
      </w:r>
      <w:r>
        <w:rPr>
          <w:rFonts w:hint="eastAsia" w:ascii="仿宋_GB2312" w:hAnsi="宋体" w:cs="宋体"/>
          <w:szCs w:val="32"/>
          <w:u w:val="none"/>
        </w:rPr>
        <w:t>项目任务分工、</w:t>
      </w:r>
      <w:r>
        <w:rPr>
          <w:rFonts w:hint="eastAsia" w:ascii="仿宋_GB2312" w:hAnsi="宋体"/>
          <w:szCs w:val="32"/>
          <w:u w:val="none"/>
        </w:rPr>
        <w:t>合作内容、</w:t>
      </w:r>
      <w:r>
        <w:rPr>
          <w:rFonts w:hint="eastAsia" w:ascii="仿宋_GB2312" w:hAnsi="宋体" w:cs="宋体"/>
          <w:szCs w:val="32"/>
          <w:u w:val="none"/>
        </w:rPr>
        <w:t>知识产权权益归属，项目资助经费的分配</w:t>
      </w:r>
      <w:r>
        <w:rPr>
          <w:rFonts w:hint="eastAsia" w:ascii="仿宋_GB2312" w:hAnsi="宋体"/>
          <w:szCs w:val="32"/>
          <w:u w:val="none"/>
        </w:rPr>
        <w:t>等</w:t>
      </w:r>
      <w:r>
        <w:rPr>
          <w:rFonts w:hint="eastAsia" w:ascii="仿宋_GB2312" w:hAnsi="宋体" w:cs="宋体"/>
          <w:szCs w:val="32"/>
          <w:u w:val="none"/>
        </w:rPr>
        <w:t>。</w:t>
      </w:r>
      <w:r>
        <w:rPr>
          <w:rFonts w:hint="eastAsia" w:ascii="仿宋_GB2312"/>
          <w:szCs w:val="32"/>
          <w:u w:val="none"/>
        </w:rPr>
        <w:t>鼓励省内外科研单位共同组</w:t>
      </w:r>
      <w:r>
        <w:rPr>
          <w:rFonts w:hint="eastAsia" w:ascii="仿宋_GB2312"/>
          <w:szCs w:val="32"/>
          <w:u w:val="none"/>
          <w:lang w:eastAsia="zh-CN"/>
        </w:rPr>
        <w:t>建创新</w:t>
      </w:r>
      <w:r>
        <w:rPr>
          <w:rFonts w:hint="eastAsia" w:ascii="仿宋_GB2312"/>
          <w:szCs w:val="32"/>
          <w:u w:val="none"/>
        </w:rPr>
        <w:t>联合体与福建省需求单位联合申报项目。</w:t>
      </w:r>
    </w:p>
    <w:p w14:paraId="7F2FD652">
      <w:pPr>
        <w:keepNext w:val="0"/>
        <w:keepLines w:val="0"/>
        <w:pageBreakBefore w:val="0"/>
        <w:kinsoku/>
        <w:overflowPunct/>
        <w:topLinePunct w:val="0"/>
        <w:autoSpaceDE/>
        <w:autoSpaceDN/>
        <w:bidi w:val="0"/>
        <w:spacing w:line="600" w:lineRule="exact"/>
        <w:ind w:firstLine="674" w:firstLineChars="200"/>
        <w:textAlignment w:val="auto"/>
        <w:rPr>
          <w:rFonts w:hint="eastAsia" w:ascii="仿宋_GB2312" w:hAnsi="仿宋_GB2312" w:eastAsia="仿宋_GB2312" w:cs="仿宋_GB2312"/>
          <w:szCs w:val="32"/>
          <w:u w:val="none"/>
        </w:rPr>
      </w:pPr>
      <w:r>
        <w:rPr>
          <w:rFonts w:hint="eastAsia" w:ascii="仿宋_GB2312" w:hAnsi="仿宋_GB2312" w:eastAsia="仿宋_GB2312" w:cs="仿宋_GB2312"/>
          <w:szCs w:val="32"/>
          <w:u w:val="none"/>
        </w:rPr>
        <w:t>省科技重大专项</w:t>
      </w:r>
      <w:r>
        <w:rPr>
          <w:rFonts w:hint="eastAsia" w:ascii="仿宋_GB2312" w:hAnsi="仿宋_GB2312" w:eastAsia="仿宋_GB2312" w:cs="仿宋_GB2312"/>
          <w:szCs w:val="32"/>
          <w:u w:val="none"/>
          <w:lang w:eastAsia="zh-CN"/>
        </w:rPr>
        <w:t>项目</w:t>
      </w:r>
      <w:r>
        <w:rPr>
          <w:rFonts w:hint="eastAsia" w:ascii="仿宋_GB2312" w:hAnsi="仿宋_GB2312" w:eastAsia="仿宋_GB2312" w:cs="仿宋_GB2312"/>
          <w:szCs w:val="32"/>
          <w:u w:val="none"/>
        </w:rPr>
        <w:t>鼓励产学研联合申报，</w:t>
      </w:r>
      <w:r>
        <w:rPr>
          <w:rFonts w:hint="eastAsia" w:ascii="仿宋_GB2312" w:hAnsi="仿宋_GB2312" w:eastAsia="仿宋_GB2312" w:cs="仿宋_GB2312"/>
          <w:b w:val="0"/>
          <w:bCs w:val="0"/>
          <w:color w:val="auto"/>
          <w:sz w:val="32"/>
          <w:szCs w:val="32"/>
          <w:u w:val="none"/>
        </w:rPr>
        <w:t>高等院校、科研院所牵头的项目原则上应有企业作为合作单位，企业牵头的项目一般应有高等院校或科研院所作为合作单位，合作单位一般不超过5个。</w:t>
      </w:r>
      <w:r>
        <w:rPr>
          <w:rFonts w:hint="eastAsia" w:ascii="仿宋_GB2312" w:hAnsi="仿宋_GB2312" w:eastAsia="仿宋_GB2312" w:cs="仿宋_GB2312"/>
          <w:szCs w:val="32"/>
          <w:u w:val="none"/>
        </w:rPr>
        <w:t>产学研合作单位应签订合作协议，协议内容应包括项目研发任务分工、知识产权权益归属，项目资助经费的分配。</w:t>
      </w:r>
    </w:p>
    <w:p w14:paraId="7CD24FD9">
      <w:pPr>
        <w:keepNext w:val="0"/>
        <w:keepLines w:val="0"/>
        <w:pageBreakBefore w:val="0"/>
        <w:numPr>
          <w:ilvl w:val="0"/>
          <w:numId w:val="1"/>
        </w:numPr>
        <w:kinsoku/>
        <w:wordWrap/>
        <w:overflowPunct/>
        <w:topLinePunct w:val="0"/>
        <w:autoSpaceDE/>
        <w:autoSpaceDN/>
        <w:bidi w:val="0"/>
        <w:adjustRightInd/>
        <w:spacing w:line="600" w:lineRule="exact"/>
        <w:ind w:firstLine="674" w:firstLineChars="200"/>
        <w:textAlignment w:val="auto"/>
        <w:rPr>
          <w:rFonts w:hint="eastAsia" w:ascii="仿宋_GB2312"/>
          <w:kern w:val="0"/>
          <w:szCs w:val="32"/>
          <w:u w:val="none"/>
        </w:rPr>
      </w:pPr>
      <w:r>
        <w:rPr>
          <w:rFonts w:hint="eastAsia" w:ascii="仿宋_GB2312" w:hAnsi="宋体" w:cs="宋体"/>
          <w:szCs w:val="32"/>
          <w:u w:val="none"/>
        </w:rPr>
        <w:t>申请</w:t>
      </w:r>
      <w:r>
        <w:rPr>
          <w:rFonts w:hint="eastAsia" w:ascii="仿宋_GB2312" w:hAnsi="宋体" w:cs="宋体"/>
          <w:szCs w:val="32"/>
          <w:u w:val="none"/>
          <w:lang w:eastAsia="zh-CN"/>
        </w:rPr>
        <w:t>省</w:t>
      </w:r>
      <w:r>
        <w:rPr>
          <w:rFonts w:hint="eastAsia" w:ascii="仿宋_GB2312"/>
          <w:kern w:val="0"/>
          <w:szCs w:val="32"/>
          <w:u w:val="none"/>
        </w:rPr>
        <w:t>科技厅资助经费不</w:t>
      </w:r>
      <w:r>
        <w:rPr>
          <w:rFonts w:hint="eastAsia" w:ascii="仿宋_GB2312"/>
          <w:kern w:val="0"/>
          <w:szCs w:val="32"/>
          <w:u w:val="none"/>
          <w:lang w:eastAsia="zh-CN"/>
        </w:rPr>
        <w:t>得</w:t>
      </w:r>
      <w:r>
        <w:rPr>
          <w:rFonts w:hint="eastAsia" w:ascii="仿宋_GB2312"/>
          <w:kern w:val="0"/>
          <w:szCs w:val="32"/>
          <w:u w:val="none"/>
        </w:rPr>
        <w:t>超过榜单/选题表规定的申请资助经费额度</w:t>
      </w:r>
      <w:r>
        <w:rPr>
          <w:rFonts w:hint="eastAsia" w:ascii="仿宋_GB2312"/>
          <w:kern w:val="0"/>
          <w:szCs w:val="32"/>
          <w:u w:val="none"/>
          <w:lang w:eastAsia="zh-CN"/>
        </w:rPr>
        <w:t>，</w:t>
      </w:r>
      <w:r>
        <w:rPr>
          <w:rFonts w:hint="eastAsia" w:ascii="仿宋_GB2312"/>
          <w:kern w:val="0"/>
          <w:szCs w:val="32"/>
          <w:u w:val="none"/>
        </w:rPr>
        <w:t>项目自筹经费与申请资助经费比例不低于1:1。</w:t>
      </w:r>
      <w:r>
        <w:rPr>
          <w:rFonts w:hint="eastAsia" w:ascii="仿宋_GB2312"/>
          <w:kern w:val="0"/>
          <w:szCs w:val="32"/>
          <w:u w:val="none"/>
          <w:lang w:eastAsia="zh-CN"/>
        </w:rPr>
        <w:t>省</w:t>
      </w:r>
      <w:r>
        <w:rPr>
          <w:rFonts w:hint="eastAsia" w:ascii="仿宋_GB2312" w:hAnsi="宋体"/>
          <w:szCs w:val="32"/>
          <w:u w:val="none"/>
        </w:rPr>
        <w:t>“揭榜挂帅”</w:t>
      </w:r>
      <w:r>
        <w:rPr>
          <w:rFonts w:hint="eastAsia" w:ascii="仿宋_GB2312"/>
          <w:kern w:val="0"/>
          <w:szCs w:val="32"/>
          <w:u w:val="none"/>
        </w:rPr>
        <w:t>项目需求单位的</w:t>
      </w:r>
      <w:r>
        <w:rPr>
          <w:rFonts w:ascii="仿宋_GB2312"/>
          <w:kern w:val="0"/>
          <w:szCs w:val="32"/>
          <w:u w:val="none"/>
        </w:rPr>
        <w:t>出资承诺</w:t>
      </w:r>
      <w:r>
        <w:rPr>
          <w:rFonts w:hint="eastAsia" w:ascii="仿宋_GB2312"/>
          <w:kern w:val="0"/>
          <w:szCs w:val="32"/>
          <w:u w:val="none"/>
          <w:lang w:eastAsia="zh-CN"/>
        </w:rPr>
        <w:t>作为</w:t>
      </w:r>
      <w:r>
        <w:rPr>
          <w:rFonts w:hint="eastAsia" w:ascii="仿宋_GB2312"/>
          <w:kern w:val="0"/>
          <w:szCs w:val="32"/>
          <w:u w:val="none"/>
        </w:rPr>
        <w:t>揭榜方联合申报项目及签订合作协议的重要参考。</w:t>
      </w:r>
      <w:r>
        <w:rPr>
          <w:rFonts w:hint="eastAsia" w:ascii="仿宋_GB2312" w:hAnsi="宋体" w:cs="宋体"/>
          <w:szCs w:val="32"/>
          <w:u w:val="none"/>
        </w:rPr>
        <w:t>按照《福建省科学技术厅</w:t>
      </w:r>
      <w:r>
        <w:rPr>
          <w:rFonts w:ascii="仿宋_GB2312" w:hAnsi="宋体" w:cs="宋体"/>
          <w:szCs w:val="32"/>
          <w:u w:val="none"/>
        </w:rPr>
        <w:t xml:space="preserve"> 福建省财政厅关于印发</w:t>
      </w:r>
      <w:r>
        <w:rPr>
          <w:rFonts w:hint="eastAsia" w:ascii="仿宋_GB2312" w:hAnsi="宋体" w:cs="宋体"/>
          <w:szCs w:val="32"/>
          <w:u w:val="none"/>
        </w:rPr>
        <w:t>〈</w:t>
      </w:r>
      <w:r>
        <w:rPr>
          <w:rFonts w:ascii="仿宋_GB2312" w:hAnsi="宋体" w:cs="宋体"/>
          <w:szCs w:val="32"/>
          <w:u w:val="none"/>
        </w:rPr>
        <w:t>福建省级科技计划项目经费管理办法</w:t>
      </w:r>
      <w:r>
        <w:rPr>
          <w:rFonts w:hint="eastAsia" w:ascii="仿宋_GB2312" w:hAnsi="宋体" w:cs="宋体"/>
          <w:szCs w:val="32"/>
          <w:u w:val="none"/>
        </w:rPr>
        <w:t>〉</w:t>
      </w:r>
      <w:r>
        <w:rPr>
          <w:rFonts w:ascii="仿宋_GB2312" w:hAnsi="宋体" w:cs="宋体"/>
          <w:szCs w:val="32"/>
          <w:u w:val="none"/>
        </w:rPr>
        <w:t>的通知</w:t>
      </w:r>
      <w:r>
        <w:rPr>
          <w:rFonts w:hint="eastAsia" w:ascii="仿宋_GB2312" w:hAnsi="宋体" w:cs="宋体"/>
          <w:szCs w:val="32"/>
          <w:u w:val="none"/>
        </w:rPr>
        <w:t>》</w:t>
      </w:r>
      <w:r>
        <w:rPr>
          <w:rFonts w:ascii="仿宋_GB2312" w:hAnsi="宋体" w:cs="宋体"/>
          <w:szCs w:val="32"/>
          <w:u w:val="none"/>
        </w:rPr>
        <w:t>（闽科规〔2022〕8号）</w:t>
      </w:r>
      <w:r>
        <w:rPr>
          <w:rFonts w:hint="eastAsia" w:ascii="仿宋_GB2312" w:hAnsi="宋体" w:cs="宋体"/>
          <w:szCs w:val="32"/>
          <w:u w:val="none"/>
        </w:rPr>
        <w:t>的要求</w:t>
      </w:r>
      <w:r>
        <w:rPr>
          <w:rFonts w:hint="eastAsia"/>
          <w:kern w:val="0"/>
          <w:szCs w:val="32"/>
          <w:u w:val="none"/>
        </w:rPr>
        <w:t>，编制</w:t>
      </w:r>
      <w:r>
        <w:rPr>
          <w:rFonts w:hint="eastAsia" w:ascii="仿宋_GB2312"/>
          <w:szCs w:val="32"/>
          <w:u w:val="none"/>
        </w:rPr>
        <w:t>科技项目经费预算。</w:t>
      </w:r>
      <w:r>
        <w:rPr>
          <w:rFonts w:hint="eastAsia" w:ascii="仿宋_GB2312"/>
          <w:kern w:val="0"/>
          <w:szCs w:val="32"/>
          <w:u w:val="none"/>
        </w:rPr>
        <w:t>若省科技厅实际资助经费未达到申请额度，项目申报单位或项目揭榜方应能与合作单位或需求单位协商，自筹解决差额部分。鼓励申报单位及合作单位共同投入。</w:t>
      </w:r>
    </w:p>
    <w:p w14:paraId="4EF047FD">
      <w:pPr>
        <w:keepNext w:val="0"/>
        <w:keepLines w:val="0"/>
        <w:pageBreakBefore w:val="0"/>
        <w:numPr>
          <w:ilvl w:val="0"/>
          <w:numId w:val="0"/>
        </w:numPr>
        <w:kinsoku/>
        <w:wordWrap/>
        <w:overflowPunct/>
        <w:topLinePunct w:val="0"/>
        <w:autoSpaceDE/>
        <w:autoSpaceDN/>
        <w:bidi w:val="0"/>
        <w:adjustRightInd/>
        <w:spacing w:line="600" w:lineRule="exact"/>
        <w:ind w:firstLine="674" w:firstLineChars="200"/>
        <w:textAlignment w:val="auto"/>
        <w:rPr>
          <w:rFonts w:hint="eastAsia" w:ascii="仿宋_GB2312"/>
          <w:kern w:val="0"/>
          <w:szCs w:val="32"/>
          <w:u w:val="none"/>
        </w:rPr>
      </w:pPr>
      <w:r>
        <w:rPr>
          <w:rFonts w:hint="eastAsia" w:ascii="仿宋_GB2312"/>
          <w:kern w:val="0"/>
          <w:szCs w:val="32"/>
          <w:u w:val="none"/>
        </w:rPr>
        <w:t>“揭榜挂帅”成果转化项目资助金额按照不超过企业转化该项成果投入总金额的50%给予资助，最高额度不超过500万元。企业转化成果投入总金额包括企业实际支付给成果持有方的技术交易费用（不低于200万元，含200万元），以及企业为成果产业化投入的资金。</w:t>
      </w:r>
    </w:p>
    <w:p w14:paraId="6CD32A1D">
      <w:pPr>
        <w:keepNext w:val="0"/>
        <w:keepLines w:val="0"/>
        <w:pageBreakBefore w:val="0"/>
        <w:kinsoku/>
        <w:overflowPunct/>
        <w:topLinePunct w:val="0"/>
        <w:autoSpaceDE/>
        <w:autoSpaceDN/>
        <w:bidi w:val="0"/>
        <w:spacing w:line="600" w:lineRule="exact"/>
        <w:ind w:firstLine="674" w:firstLineChars="200"/>
        <w:textAlignment w:val="auto"/>
        <w:rPr>
          <w:rFonts w:ascii="仿宋_GB2312" w:hAnsi="宋体" w:cs="宋体"/>
          <w:szCs w:val="32"/>
          <w:u w:val="none"/>
        </w:rPr>
      </w:pPr>
      <w:r>
        <w:rPr>
          <w:rFonts w:hint="eastAsia" w:ascii="仿宋_GB2312" w:hAnsi="宋体"/>
          <w:szCs w:val="32"/>
          <w:u w:val="none"/>
        </w:rPr>
        <w:t>（</w:t>
      </w:r>
      <w:r>
        <w:rPr>
          <w:rFonts w:hint="eastAsia" w:ascii="仿宋_GB2312" w:hAnsi="宋体"/>
          <w:szCs w:val="32"/>
          <w:u w:val="none"/>
          <w:lang w:eastAsia="zh-CN"/>
        </w:rPr>
        <w:t>四</w:t>
      </w:r>
      <w:r>
        <w:rPr>
          <w:rFonts w:hint="eastAsia" w:ascii="仿宋_GB2312" w:hAnsi="宋体"/>
          <w:szCs w:val="32"/>
          <w:u w:val="none"/>
        </w:rPr>
        <w:t>）</w:t>
      </w:r>
      <w:r>
        <w:rPr>
          <w:rFonts w:hint="eastAsia" w:ascii="仿宋_GB2312" w:hAnsi="宋体"/>
          <w:szCs w:val="32"/>
          <w:u w:val="none"/>
          <w:lang w:eastAsia="zh-CN"/>
        </w:rPr>
        <w:t>省</w:t>
      </w:r>
      <w:r>
        <w:rPr>
          <w:rFonts w:hint="eastAsia" w:ascii="仿宋_GB2312" w:hAnsi="宋体"/>
          <w:szCs w:val="32"/>
          <w:u w:val="none"/>
        </w:rPr>
        <w:t>“揭榜挂帅”项目</w:t>
      </w:r>
      <w:r>
        <w:rPr>
          <w:rFonts w:hint="eastAsia" w:ascii="仿宋_GB2312" w:hAnsi="宋体" w:cs="宋体"/>
          <w:szCs w:val="32"/>
          <w:u w:val="none"/>
        </w:rPr>
        <w:t>牵头揭榜单位为企业的，应符合下列条件：</w:t>
      </w:r>
    </w:p>
    <w:p w14:paraId="0E4E3832">
      <w:pPr>
        <w:keepNext w:val="0"/>
        <w:keepLines w:val="0"/>
        <w:pageBreakBefore w:val="0"/>
        <w:kinsoku/>
        <w:overflowPunct/>
        <w:topLinePunct w:val="0"/>
        <w:autoSpaceDE/>
        <w:autoSpaceDN/>
        <w:bidi w:val="0"/>
        <w:spacing w:line="600" w:lineRule="exact"/>
        <w:ind w:firstLine="674" w:firstLineChars="200"/>
        <w:textAlignment w:val="auto"/>
        <w:rPr>
          <w:rFonts w:hint="eastAsia" w:ascii="仿宋_GB2312" w:eastAsia="仿宋_GB2312"/>
          <w:kern w:val="0"/>
          <w:szCs w:val="32"/>
          <w:u w:val="none"/>
          <w:lang w:eastAsia="zh-CN"/>
        </w:rPr>
      </w:pPr>
      <w:r>
        <w:rPr>
          <w:rFonts w:ascii="仿宋_GB2312" w:hAnsi="宋体" w:cs="宋体"/>
          <w:szCs w:val="32"/>
          <w:u w:val="none"/>
        </w:rPr>
        <w:t>1.</w:t>
      </w:r>
      <w:r>
        <w:rPr>
          <w:rFonts w:hint="eastAsia" w:ascii="仿宋_GB2312"/>
          <w:kern w:val="0"/>
          <w:szCs w:val="32"/>
          <w:u w:val="none"/>
        </w:rPr>
        <w:t>必须是具有独立法人资格并具备科研开发能力和条件的规模以上</w:t>
      </w:r>
      <w:r>
        <w:rPr>
          <w:rFonts w:hint="eastAsia" w:ascii="仿宋_GB2312"/>
          <w:color w:val="auto"/>
          <w:kern w:val="0"/>
          <w:szCs w:val="32"/>
          <w:u w:val="none"/>
        </w:rPr>
        <w:t>企业或</w:t>
      </w:r>
      <w:r>
        <w:rPr>
          <w:rFonts w:hint="eastAsia" w:ascii="仿宋_GB2312"/>
          <w:color w:val="auto"/>
          <w:kern w:val="0"/>
          <w:szCs w:val="32"/>
          <w:u w:val="none"/>
          <w:lang w:eastAsia="zh-CN"/>
        </w:rPr>
        <w:t>省</w:t>
      </w:r>
      <w:r>
        <w:rPr>
          <w:rFonts w:hint="eastAsia" w:ascii="仿宋_GB2312"/>
          <w:color w:val="auto"/>
          <w:kern w:val="0"/>
          <w:szCs w:val="32"/>
          <w:u w:val="none"/>
        </w:rPr>
        <w:t>级以上农</w:t>
      </w:r>
      <w:r>
        <w:rPr>
          <w:rFonts w:hint="eastAsia" w:ascii="仿宋_GB2312"/>
          <w:color w:val="auto"/>
          <w:kern w:val="0"/>
          <w:szCs w:val="32"/>
          <w:u w:val="none"/>
          <w:lang w:eastAsia="zh-CN"/>
        </w:rPr>
        <w:t>（林）</w:t>
      </w:r>
      <w:r>
        <w:rPr>
          <w:rFonts w:hint="eastAsia" w:ascii="仿宋_GB2312"/>
          <w:color w:val="auto"/>
          <w:kern w:val="0"/>
          <w:szCs w:val="32"/>
          <w:u w:val="none"/>
        </w:rPr>
        <w:t>业产业化龙头企业（</w:t>
      </w:r>
      <w:r>
        <w:rPr>
          <w:rFonts w:hint="eastAsia" w:ascii="仿宋_GB2312"/>
          <w:kern w:val="0"/>
          <w:szCs w:val="32"/>
          <w:u w:val="none"/>
        </w:rPr>
        <w:t>不含福建省计划单列市</w:t>
      </w:r>
      <w:r>
        <w:rPr>
          <w:rFonts w:hint="eastAsia" w:ascii="仿宋_GB2312"/>
          <w:color w:val="auto"/>
          <w:kern w:val="0"/>
          <w:szCs w:val="32"/>
          <w:u w:val="none"/>
        </w:rPr>
        <w:t>）</w:t>
      </w:r>
      <w:r>
        <w:rPr>
          <w:rFonts w:hint="eastAsia" w:ascii="仿宋_GB2312"/>
          <w:kern w:val="0"/>
          <w:szCs w:val="32"/>
          <w:u w:val="none"/>
        </w:rPr>
        <w:t>，</w:t>
      </w:r>
      <w:r>
        <w:rPr>
          <w:rFonts w:hint="eastAsia" w:ascii="仿宋_GB2312"/>
          <w:color w:val="auto"/>
          <w:kern w:val="0"/>
          <w:szCs w:val="32"/>
          <w:u w:val="none"/>
        </w:rPr>
        <w:t>软件等行业企业</w:t>
      </w:r>
      <w:r>
        <w:rPr>
          <w:rFonts w:hint="eastAsia" w:ascii="仿宋_GB2312"/>
          <w:kern w:val="0"/>
          <w:szCs w:val="32"/>
          <w:u w:val="none"/>
        </w:rPr>
        <w:t>规模参照工业企业</w:t>
      </w:r>
      <w:r>
        <w:rPr>
          <w:rFonts w:hint="eastAsia" w:ascii="仿宋_GB2312"/>
          <w:szCs w:val="32"/>
          <w:u w:val="none"/>
        </w:rPr>
        <w:t>。</w:t>
      </w:r>
      <w:r>
        <w:rPr>
          <w:rFonts w:hint="eastAsia" w:ascii="仿宋_GB2312"/>
          <w:kern w:val="0"/>
          <w:szCs w:val="32"/>
          <w:u w:val="none"/>
          <w:lang w:eastAsia="zh-CN"/>
        </w:rPr>
        <w:t>规模以上工业企业须建有研发机构并开展研发活动。</w:t>
      </w:r>
    </w:p>
    <w:p w14:paraId="051B7CB1">
      <w:pPr>
        <w:keepNext w:val="0"/>
        <w:keepLines w:val="0"/>
        <w:pageBreakBefore w:val="0"/>
        <w:kinsoku/>
        <w:wordWrap w:val="0"/>
        <w:overflowPunct/>
        <w:topLinePunct w:val="0"/>
        <w:autoSpaceDE/>
        <w:autoSpaceDN/>
        <w:bidi w:val="0"/>
        <w:spacing w:line="600" w:lineRule="exact"/>
        <w:ind w:firstLine="674" w:firstLineChars="200"/>
        <w:textAlignment w:val="auto"/>
        <w:rPr>
          <w:rFonts w:hint="eastAsia" w:ascii="仿宋_GB2312" w:hAnsi="宋体" w:cs="宋体"/>
          <w:szCs w:val="32"/>
          <w:u w:val="none"/>
        </w:rPr>
      </w:pPr>
      <w:r>
        <w:rPr>
          <w:rFonts w:hint="eastAsia" w:ascii="仿宋_GB2312"/>
          <w:szCs w:val="32"/>
          <w:u w:val="none"/>
        </w:rPr>
        <w:t>2.202</w:t>
      </w:r>
      <w:r>
        <w:rPr>
          <w:rFonts w:hint="eastAsia" w:ascii="仿宋_GB2312"/>
          <w:szCs w:val="32"/>
          <w:u w:val="none"/>
          <w:lang w:val="en-US" w:eastAsia="zh-CN"/>
        </w:rPr>
        <w:t>5</w:t>
      </w:r>
      <w:r>
        <w:rPr>
          <w:rFonts w:hint="eastAsia" w:ascii="仿宋_GB2312"/>
          <w:szCs w:val="32"/>
          <w:u w:val="none"/>
        </w:rPr>
        <w:t>年度研发费用占主营业务收入的比例应达2.5%以上，并提供</w:t>
      </w:r>
      <w:r>
        <w:rPr>
          <w:rFonts w:hint="eastAsia" w:ascii="仿宋_GB2312" w:hAnsi="宋体"/>
          <w:szCs w:val="32"/>
          <w:u w:val="none"/>
        </w:rPr>
        <w:t>能体现</w:t>
      </w:r>
      <w:r>
        <w:rPr>
          <w:rFonts w:hint="eastAsia" w:ascii="仿宋_GB2312"/>
          <w:szCs w:val="32"/>
          <w:u w:val="none"/>
        </w:rPr>
        <w:t>研发经费投入</w:t>
      </w:r>
      <w:r>
        <w:rPr>
          <w:rFonts w:hint="eastAsia" w:ascii="仿宋_GB2312" w:hAnsi="宋体"/>
          <w:szCs w:val="32"/>
          <w:u w:val="none"/>
        </w:rPr>
        <w:t>比例的企业研发经费投入结构明细表</w:t>
      </w:r>
      <w:r>
        <w:rPr>
          <w:rFonts w:hint="eastAsia" w:ascii="仿宋_GB2312" w:hAnsi="宋体" w:cs="宋体"/>
          <w:kern w:val="0"/>
          <w:szCs w:val="32"/>
          <w:u w:val="none"/>
        </w:rPr>
        <w:t>（格式下载网址：</w:t>
      </w:r>
      <w:r>
        <w:rPr>
          <w:rFonts w:ascii="仿宋_GB2312" w:hAnsi="宋体" w:cs="宋体"/>
          <w:kern w:val="0"/>
          <w:szCs w:val="32"/>
          <w:u w:val="none"/>
        </w:rPr>
        <w:t>http://xmgl.kjt.fujian.gov.cn/</w:t>
      </w:r>
      <w:r>
        <w:rPr>
          <w:rFonts w:hint="eastAsia" w:ascii="仿宋_GB2312" w:hAnsi="宋体" w:cs="宋体"/>
          <w:kern w:val="0"/>
          <w:szCs w:val="32"/>
          <w:u w:val="none"/>
        </w:rPr>
        <w:t>）</w:t>
      </w:r>
      <w:r>
        <w:rPr>
          <w:rFonts w:hint="eastAsia" w:ascii="仿宋_GB2312"/>
          <w:szCs w:val="32"/>
          <w:u w:val="none"/>
        </w:rPr>
        <w:t>。高新技术企业可以提供有效的高新技术企业证书，不需要提供</w:t>
      </w:r>
      <w:r>
        <w:rPr>
          <w:rFonts w:hint="eastAsia" w:ascii="仿宋_GB2312" w:hAnsi="宋体"/>
          <w:szCs w:val="32"/>
          <w:u w:val="none"/>
        </w:rPr>
        <w:t>企业研发经费投入结构明细表</w:t>
      </w:r>
      <w:r>
        <w:rPr>
          <w:rFonts w:hint="eastAsia" w:ascii="仿宋_GB2312" w:hAnsi="宋体" w:cs="宋体"/>
          <w:szCs w:val="32"/>
          <w:u w:val="none"/>
        </w:rPr>
        <w:t>。</w:t>
      </w:r>
    </w:p>
    <w:p w14:paraId="1D8DA89A">
      <w:pPr>
        <w:keepNext w:val="0"/>
        <w:keepLines w:val="0"/>
        <w:pageBreakBefore w:val="0"/>
        <w:kinsoku/>
        <w:overflowPunct/>
        <w:topLinePunct w:val="0"/>
        <w:autoSpaceDE/>
        <w:autoSpaceDN/>
        <w:bidi w:val="0"/>
        <w:spacing w:line="600" w:lineRule="exact"/>
        <w:ind w:firstLine="674" w:firstLineChars="200"/>
        <w:textAlignment w:val="auto"/>
        <w:rPr>
          <w:rFonts w:hint="eastAsia" w:ascii="仿宋_GB2312" w:hAnsi="宋体" w:cs="宋体"/>
          <w:szCs w:val="32"/>
          <w:u w:val="none"/>
        </w:rPr>
      </w:pPr>
      <w:r>
        <w:rPr>
          <w:rFonts w:hint="eastAsia" w:ascii="仿宋_GB2312"/>
          <w:szCs w:val="32"/>
          <w:u w:val="none"/>
        </w:rPr>
        <w:t>（</w:t>
      </w:r>
      <w:r>
        <w:rPr>
          <w:rFonts w:hint="eastAsia" w:ascii="仿宋_GB2312"/>
          <w:szCs w:val="32"/>
          <w:u w:val="none"/>
          <w:lang w:eastAsia="zh-CN"/>
        </w:rPr>
        <w:t>五</w:t>
      </w:r>
      <w:r>
        <w:rPr>
          <w:rFonts w:hint="eastAsia" w:ascii="仿宋_GB2312"/>
          <w:szCs w:val="32"/>
          <w:u w:val="none"/>
        </w:rPr>
        <w:t>）</w:t>
      </w:r>
      <w:r>
        <w:rPr>
          <w:rFonts w:hint="eastAsia" w:ascii="仿宋_GB2312"/>
          <w:kern w:val="0"/>
          <w:szCs w:val="32"/>
          <w:u w:val="none"/>
        </w:rPr>
        <w:t>科技重大专项</w:t>
      </w:r>
      <w:r>
        <w:rPr>
          <w:rFonts w:hint="eastAsia" w:ascii="仿宋_GB2312" w:hAnsi="宋体" w:cs="宋体"/>
          <w:szCs w:val="32"/>
          <w:u w:val="none"/>
        </w:rPr>
        <w:t>牵头申报单位为企业的，应符合下列条件：</w:t>
      </w:r>
    </w:p>
    <w:p w14:paraId="021DAD96">
      <w:pPr>
        <w:keepNext w:val="0"/>
        <w:keepLines w:val="0"/>
        <w:pageBreakBefore w:val="0"/>
        <w:kinsoku/>
        <w:overflowPunct/>
        <w:topLinePunct w:val="0"/>
        <w:autoSpaceDE/>
        <w:autoSpaceDN/>
        <w:bidi w:val="0"/>
        <w:spacing w:line="600" w:lineRule="exact"/>
        <w:ind w:firstLine="674" w:firstLineChars="200"/>
        <w:textAlignment w:val="auto"/>
        <w:rPr>
          <w:rFonts w:hint="eastAsia" w:ascii="仿宋_GB2312"/>
          <w:color w:val="000000"/>
          <w:szCs w:val="32"/>
          <w:u w:val="none"/>
        </w:rPr>
      </w:pPr>
      <w:r>
        <w:rPr>
          <w:rFonts w:hint="eastAsia" w:ascii="仿宋_GB2312" w:hAnsi="宋体" w:cs="宋体"/>
          <w:szCs w:val="32"/>
          <w:u w:val="none"/>
        </w:rPr>
        <w:t>1.</w:t>
      </w:r>
      <w:r>
        <w:rPr>
          <w:rFonts w:hint="eastAsia" w:ascii="仿宋_GB2312"/>
          <w:kern w:val="0"/>
          <w:szCs w:val="32"/>
          <w:u w:val="none"/>
        </w:rPr>
        <w:t>必须是在推荐区域内（不含计划单列市）注册、具有独立法人资格并具备科研开发能力和条件的规模以上</w:t>
      </w:r>
      <w:r>
        <w:rPr>
          <w:rFonts w:hint="eastAsia" w:ascii="仿宋_GB2312"/>
          <w:color w:val="000000"/>
          <w:szCs w:val="32"/>
          <w:u w:val="none"/>
        </w:rPr>
        <w:t>企业或</w:t>
      </w:r>
      <w:r>
        <w:rPr>
          <w:rFonts w:hint="eastAsia" w:ascii="仿宋_GB2312"/>
          <w:color w:val="000000"/>
          <w:szCs w:val="32"/>
          <w:u w:val="none"/>
          <w:lang w:eastAsia="zh-CN"/>
        </w:rPr>
        <w:t>省</w:t>
      </w:r>
      <w:r>
        <w:rPr>
          <w:rFonts w:hint="eastAsia" w:ascii="仿宋_GB2312"/>
          <w:color w:val="000000"/>
          <w:szCs w:val="32"/>
          <w:u w:val="none"/>
        </w:rPr>
        <w:t>级以上农</w:t>
      </w:r>
      <w:r>
        <w:rPr>
          <w:rFonts w:hint="eastAsia" w:ascii="仿宋_GB2312"/>
          <w:color w:val="000000"/>
          <w:szCs w:val="32"/>
          <w:u w:val="none"/>
          <w:lang w:eastAsia="zh-CN"/>
        </w:rPr>
        <w:t>（林）</w:t>
      </w:r>
      <w:r>
        <w:rPr>
          <w:rFonts w:hint="eastAsia" w:ascii="仿宋_GB2312"/>
          <w:color w:val="000000"/>
          <w:szCs w:val="32"/>
          <w:u w:val="none"/>
        </w:rPr>
        <w:t>业产业化龙头企业（</w:t>
      </w:r>
      <w:r>
        <w:rPr>
          <w:rFonts w:hint="eastAsia" w:ascii="仿宋_GB2312"/>
          <w:color w:val="000000"/>
          <w:kern w:val="2"/>
          <w:szCs w:val="32"/>
          <w:u w:val="none"/>
        </w:rPr>
        <w:t>不含计划单列市</w:t>
      </w:r>
      <w:r>
        <w:rPr>
          <w:rFonts w:hint="eastAsia" w:ascii="仿宋_GB2312"/>
          <w:color w:val="000000"/>
          <w:szCs w:val="32"/>
          <w:u w:val="none"/>
        </w:rPr>
        <w:t>），软件等行业企业规模参照工业企业。</w:t>
      </w:r>
      <w:r>
        <w:rPr>
          <w:rFonts w:hint="eastAsia" w:ascii="仿宋_GB2312"/>
          <w:color w:val="000000"/>
          <w:szCs w:val="32"/>
          <w:u w:val="none"/>
          <w:lang w:eastAsia="zh-CN"/>
        </w:rPr>
        <w:t>规模以上工业企业须建有研发机构并开展研发活动。</w:t>
      </w:r>
    </w:p>
    <w:p w14:paraId="5EED91B5">
      <w:pPr>
        <w:keepNext w:val="0"/>
        <w:keepLines w:val="0"/>
        <w:pageBreakBefore w:val="0"/>
        <w:kinsoku/>
        <w:wordWrap w:val="0"/>
        <w:overflowPunct/>
        <w:topLinePunct w:val="0"/>
        <w:autoSpaceDE/>
        <w:autoSpaceDN/>
        <w:bidi w:val="0"/>
        <w:spacing w:line="600" w:lineRule="exact"/>
        <w:ind w:firstLine="674" w:firstLineChars="200"/>
        <w:textAlignment w:val="auto"/>
        <w:rPr>
          <w:rFonts w:hint="eastAsia" w:ascii="仿宋_GB2312" w:hAnsi="宋体" w:cs="宋体"/>
          <w:szCs w:val="32"/>
          <w:u w:val="none"/>
        </w:rPr>
      </w:pPr>
      <w:r>
        <w:rPr>
          <w:rFonts w:hint="eastAsia" w:ascii="仿宋_GB2312"/>
          <w:szCs w:val="32"/>
          <w:u w:val="none"/>
        </w:rPr>
        <w:t>2.202</w:t>
      </w:r>
      <w:r>
        <w:rPr>
          <w:rFonts w:hint="eastAsia" w:ascii="仿宋_GB2312"/>
          <w:szCs w:val="32"/>
          <w:u w:val="none"/>
          <w:lang w:val="en-US" w:eastAsia="zh-CN"/>
        </w:rPr>
        <w:t>5</w:t>
      </w:r>
      <w:r>
        <w:rPr>
          <w:rFonts w:hint="eastAsia" w:ascii="仿宋_GB2312"/>
          <w:szCs w:val="32"/>
          <w:u w:val="none"/>
        </w:rPr>
        <w:t>年度研发费用占主营业务收入的比例应达2.5%以上，并提供</w:t>
      </w:r>
      <w:r>
        <w:rPr>
          <w:rFonts w:hint="eastAsia" w:ascii="仿宋_GB2312" w:hAnsi="宋体"/>
          <w:szCs w:val="32"/>
          <w:u w:val="none"/>
        </w:rPr>
        <w:t>能体现</w:t>
      </w:r>
      <w:r>
        <w:rPr>
          <w:rFonts w:hint="eastAsia" w:ascii="仿宋_GB2312"/>
          <w:szCs w:val="32"/>
          <w:u w:val="none"/>
        </w:rPr>
        <w:t>研发经费投入</w:t>
      </w:r>
      <w:r>
        <w:rPr>
          <w:rFonts w:hint="eastAsia" w:ascii="仿宋_GB2312" w:hAnsi="宋体"/>
          <w:szCs w:val="32"/>
          <w:u w:val="none"/>
        </w:rPr>
        <w:t>比例的企业研发经费投入结构明细表</w:t>
      </w:r>
      <w:r>
        <w:rPr>
          <w:rFonts w:hint="eastAsia" w:ascii="仿宋_GB2312" w:hAnsi="宋体" w:cs="宋体"/>
          <w:kern w:val="0"/>
          <w:szCs w:val="32"/>
          <w:u w:val="none"/>
        </w:rPr>
        <w:t>（格式下载网址：</w:t>
      </w:r>
      <w:r>
        <w:rPr>
          <w:rFonts w:ascii="仿宋_GB2312" w:hAnsi="宋体" w:cs="宋体"/>
          <w:kern w:val="0"/>
          <w:szCs w:val="32"/>
          <w:u w:val="none"/>
        </w:rPr>
        <w:t>http://xmgl.kjt.fujian.gov.cn/</w:t>
      </w:r>
      <w:r>
        <w:rPr>
          <w:rFonts w:hint="eastAsia" w:ascii="仿宋_GB2312" w:hAnsi="宋体" w:cs="宋体"/>
          <w:kern w:val="0"/>
          <w:szCs w:val="32"/>
          <w:u w:val="none"/>
        </w:rPr>
        <w:t>）</w:t>
      </w:r>
      <w:r>
        <w:rPr>
          <w:rFonts w:hint="eastAsia" w:ascii="仿宋_GB2312"/>
          <w:szCs w:val="32"/>
          <w:u w:val="none"/>
        </w:rPr>
        <w:t>。高新技术企业可以提供有效</w:t>
      </w:r>
      <w:r>
        <w:rPr>
          <w:rFonts w:hint="eastAsia" w:ascii="仿宋_GB2312"/>
          <w:szCs w:val="32"/>
          <w:u w:val="none"/>
          <w:lang w:eastAsia="zh-CN"/>
        </w:rPr>
        <w:t>期内</w:t>
      </w:r>
      <w:r>
        <w:rPr>
          <w:rFonts w:hint="eastAsia" w:ascii="仿宋_GB2312"/>
          <w:szCs w:val="32"/>
          <w:u w:val="none"/>
        </w:rPr>
        <w:t>的高新技术企业证书，不需要提供</w:t>
      </w:r>
      <w:r>
        <w:rPr>
          <w:rFonts w:hint="eastAsia" w:ascii="仿宋_GB2312" w:hAnsi="宋体"/>
          <w:szCs w:val="32"/>
          <w:u w:val="none"/>
        </w:rPr>
        <w:t>企业研发经费投入结构明细表</w:t>
      </w:r>
      <w:r>
        <w:rPr>
          <w:rFonts w:hint="eastAsia" w:ascii="仿宋_GB2312" w:hAnsi="宋体" w:cs="宋体"/>
          <w:szCs w:val="32"/>
          <w:u w:val="none"/>
        </w:rPr>
        <w:t>。</w:t>
      </w:r>
      <w:r>
        <w:rPr>
          <w:rFonts w:hint="eastAsia" w:ascii="仿宋_GB2312" w:hAnsi="仿宋_GB2312" w:cs="仿宋_GB2312"/>
          <w:u w:val="none"/>
        </w:rPr>
        <w:t>为推动企业加大研发投入，夯实企业科技创新主体地位。我省推荐主管部门应将企业研发投入情况与科技资源配置紧密挂钩，</w:t>
      </w:r>
      <w:bookmarkStart w:id="4" w:name="_Hlk152767701"/>
      <w:r>
        <w:rPr>
          <w:rFonts w:hint="eastAsia" w:ascii="仿宋_GB2312" w:hAnsi="仿宋_GB2312" w:cs="仿宋_GB2312"/>
          <w:u w:val="none"/>
        </w:rPr>
        <w:t>对研发投入占比高于5%的或年度自主研发费用2000万元以上的企业，</w:t>
      </w:r>
      <w:bookmarkEnd w:id="4"/>
      <w:r>
        <w:rPr>
          <w:rFonts w:hint="eastAsia" w:ascii="仿宋_GB2312" w:hAnsi="仿宋_GB2312" w:cs="仿宋_GB2312"/>
          <w:u w:val="none"/>
        </w:rPr>
        <w:t>优先推荐申报。</w:t>
      </w:r>
    </w:p>
    <w:p w14:paraId="612BBFB9">
      <w:pPr>
        <w:keepNext w:val="0"/>
        <w:keepLines w:val="0"/>
        <w:pageBreakBefore w:val="0"/>
        <w:kinsoku/>
        <w:overflowPunct/>
        <w:topLinePunct w:val="0"/>
        <w:autoSpaceDE/>
        <w:autoSpaceDN/>
        <w:bidi w:val="0"/>
        <w:spacing w:line="600" w:lineRule="exact"/>
        <w:ind w:firstLine="674" w:firstLineChars="200"/>
        <w:textAlignment w:val="auto"/>
        <w:rPr>
          <w:rFonts w:hint="eastAsia" w:ascii="仿宋_GB2312" w:hAnsi="宋体"/>
          <w:szCs w:val="32"/>
          <w:u w:val="none"/>
        </w:rPr>
      </w:pPr>
      <w:r>
        <w:rPr>
          <w:rFonts w:hint="eastAsia" w:ascii="仿宋_GB2312" w:hAnsi="宋体"/>
          <w:szCs w:val="32"/>
          <w:u w:val="none"/>
        </w:rPr>
        <w:t>（六）企业作为“揭榜挂帅</w:t>
      </w:r>
      <w:r>
        <w:rPr>
          <w:rFonts w:hint="eastAsia" w:ascii="仿宋_GB2312" w:hAnsi="宋体"/>
          <w:szCs w:val="32"/>
          <w:u w:val="none"/>
          <w:lang w:eastAsia="zh-CN"/>
        </w:rPr>
        <w:t>（科技</w:t>
      </w:r>
      <w:r>
        <w:rPr>
          <w:rFonts w:hint="eastAsia" w:ascii="仿宋_GB2312" w:hAnsi="宋体"/>
          <w:szCs w:val="32"/>
          <w:u w:val="none"/>
        </w:rPr>
        <w:t>重大专项</w:t>
      </w:r>
      <w:r>
        <w:rPr>
          <w:rFonts w:hint="eastAsia" w:ascii="仿宋_GB2312" w:hAnsi="宋体"/>
          <w:szCs w:val="32"/>
          <w:u w:val="none"/>
          <w:lang w:eastAsia="zh-CN"/>
        </w:rPr>
        <w:t>）</w:t>
      </w:r>
      <w:r>
        <w:rPr>
          <w:rFonts w:hint="eastAsia" w:ascii="仿宋_GB2312" w:hAnsi="宋体"/>
          <w:szCs w:val="32"/>
          <w:u w:val="none"/>
        </w:rPr>
        <w:t>”</w:t>
      </w:r>
      <w:r>
        <w:rPr>
          <w:rFonts w:hint="eastAsia" w:ascii="仿宋_GB2312" w:hAnsi="宋体"/>
          <w:szCs w:val="32"/>
          <w:u w:val="none"/>
          <w:lang w:eastAsia="zh-CN"/>
        </w:rPr>
        <w:t>项目</w:t>
      </w:r>
      <w:r>
        <w:rPr>
          <w:rFonts w:hint="eastAsia" w:ascii="仿宋_GB2312" w:hAnsi="宋体"/>
          <w:szCs w:val="32"/>
          <w:u w:val="none"/>
        </w:rPr>
        <w:t>牵头申报单位的，当年度申报科技重大专项专题项目、区域发展项目、科技型中小企业技术创新资金项目（包括技术创新项目和创新创业大赛获奖项目）、星火项目、对外合作项目、引导性项目、</w:t>
      </w:r>
      <w:r>
        <w:rPr>
          <w:rFonts w:hint="eastAsia" w:ascii="仿宋_GB2312" w:hAnsi="宋体"/>
          <w:szCs w:val="32"/>
          <w:u w:val="none"/>
          <w:lang w:eastAsia="zh-CN"/>
        </w:rPr>
        <w:t>院省合作项目、原</w:t>
      </w:r>
      <w:r>
        <w:rPr>
          <w:rFonts w:hint="eastAsia" w:ascii="仿宋_GB2312" w:hAnsi="宋体"/>
          <w:szCs w:val="32"/>
          <w:u w:val="none"/>
        </w:rPr>
        <w:t>STS项目、成果转化项目</w:t>
      </w:r>
      <w:r>
        <w:rPr>
          <w:rFonts w:hint="eastAsia" w:ascii="仿宋_GB2312" w:hAnsi="宋体"/>
          <w:szCs w:val="32"/>
          <w:u w:val="none"/>
          <w:lang w:eastAsia="zh-CN"/>
        </w:rPr>
        <w:t>、</w:t>
      </w:r>
      <w:r>
        <w:rPr>
          <w:rFonts w:hint="eastAsia" w:ascii="仿宋_GB2312" w:hAnsi="宋体"/>
          <w:szCs w:val="32"/>
          <w:u w:val="none"/>
        </w:rPr>
        <w:t>中央引导地方科技发展项目</w:t>
      </w:r>
      <w:r>
        <w:rPr>
          <w:rFonts w:hint="eastAsia" w:ascii="仿宋_GB2312" w:hAnsi="宋体"/>
          <w:szCs w:val="32"/>
          <w:u w:val="none"/>
          <w:lang w:eastAsia="zh-CN"/>
        </w:rPr>
        <w:t>和福厦泉国家自主创新示范区协同创新平台项目</w:t>
      </w:r>
      <w:r>
        <w:rPr>
          <w:rFonts w:hint="eastAsia" w:ascii="仿宋_GB2312" w:hAnsi="宋体"/>
          <w:szCs w:val="32"/>
          <w:u w:val="none"/>
        </w:rPr>
        <w:t>等项目时，只能申请其中1个项目。</w:t>
      </w:r>
    </w:p>
    <w:p w14:paraId="47CAE6CF">
      <w:pPr>
        <w:keepNext w:val="0"/>
        <w:keepLines w:val="0"/>
        <w:pageBreakBefore w:val="0"/>
        <w:kinsoku/>
        <w:overflowPunct/>
        <w:topLinePunct w:val="0"/>
        <w:autoSpaceDE/>
        <w:autoSpaceDN/>
        <w:bidi w:val="0"/>
        <w:spacing w:line="600" w:lineRule="exact"/>
        <w:ind w:firstLine="674" w:firstLineChars="200"/>
        <w:textAlignment w:val="auto"/>
        <w:rPr>
          <w:rFonts w:hint="eastAsia" w:ascii="仿宋_GB2312"/>
          <w:szCs w:val="32"/>
          <w:u w:val="none"/>
        </w:rPr>
      </w:pPr>
      <w:r>
        <w:rPr>
          <w:rFonts w:hint="eastAsia" w:ascii="仿宋_GB2312" w:hAnsi="宋体" w:cs="宋体"/>
          <w:szCs w:val="32"/>
          <w:u w:val="none"/>
        </w:rPr>
        <w:t>（七）项目牵头申报单位</w:t>
      </w:r>
      <w:r>
        <w:rPr>
          <w:rFonts w:hint="eastAsia" w:ascii="仿宋_GB2312"/>
          <w:szCs w:val="32"/>
          <w:u w:val="none"/>
        </w:rPr>
        <w:t>不得有到期未验收的省科技计划项目。</w:t>
      </w:r>
    </w:p>
    <w:p w14:paraId="780E82B2">
      <w:pPr>
        <w:keepNext w:val="0"/>
        <w:keepLines w:val="0"/>
        <w:pageBreakBefore w:val="0"/>
        <w:kinsoku/>
        <w:overflowPunct/>
        <w:topLinePunct w:val="0"/>
        <w:autoSpaceDE/>
        <w:autoSpaceDN/>
        <w:bidi w:val="0"/>
        <w:spacing w:line="600" w:lineRule="exact"/>
        <w:ind w:firstLine="674" w:firstLineChars="200"/>
        <w:textAlignment w:val="auto"/>
        <w:rPr>
          <w:rFonts w:hint="eastAsia" w:ascii="仿宋_GB2312" w:hAnsi="宋体" w:cs="宋体"/>
          <w:szCs w:val="32"/>
          <w:u w:val="none"/>
        </w:rPr>
      </w:pPr>
      <w:r>
        <w:rPr>
          <w:rFonts w:hint="eastAsia" w:ascii="仿宋_GB2312" w:hAnsi="宋体" w:cs="宋体"/>
          <w:szCs w:val="32"/>
          <w:u w:val="none"/>
        </w:rPr>
        <w:t>（八）项目负责人应为实际主持研究工作的科技人员，不得有到期未验收的省科技计划项目。</w:t>
      </w:r>
      <w:r>
        <w:rPr>
          <w:rFonts w:hint="eastAsia" w:ascii="仿宋_GB2312" w:hAnsi="宋体" w:cs="宋体"/>
          <w:szCs w:val="32"/>
          <w:u w:val="none"/>
          <w:lang w:eastAsia="zh-CN"/>
        </w:rPr>
        <w:t>企业牵头申报项目的项目负责人应为企业法定代表人或经授权的企业科技人员。</w:t>
      </w:r>
      <w:r>
        <w:rPr>
          <w:rFonts w:hint="eastAsia" w:ascii="仿宋_GB2312" w:hAnsi="宋体" w:cs="宋体"/>
          <w:szCs w:val="32"/>
          <w:u w:val="none"/>
        </w:rPr>
        <w:t>项目负责人不得有</w:t>
      </w:r>
      <w:bookmarkStart w:id="5" w:name="_Hlk162603242"/>
      <w:r>
        <w:rPr>
          <w:rFonts w:hint="eastAsia" w:ascii="仿宋_GB2312" w:hAnsi="宋体" w:cs="宋体"/>
          <w:szCs w:val="32"/>
          <w:u w:val="none"/>
        </w:rPr>
        <w:t>在研的重大专项专题项目、区域发展项目、高校产学项目、对外合作项目、</w:t>
      </w:r>
      <w:r>
        <w:rPr>
          <w:rFonts w:hint="eastAsia" w:ascii="仿宋_GB2312" w:hAnsi="宋体"/>
          <w:szCs w:val="32"/>
          <w:u w:val="none"/>
          <w:lang w:eastAsia="zh-CN"/>
        </w:rPr>
        <w:t>院省合作项目、</w:t>
      </w:r>
      <w:r>
        <w:rPr>
          <w:rFonts w:hint="eastAsia" w:ascii="仿宋_GB2312" w:hAnsi="宋体" w:cs="宋体"/>
          <w:szCs w:val="32"/>
          <w:u w:val="none"/>
          <w:lang w:eastAsia="zh-CN"/>
        </w:rPr>
        <w:t>原</w:t>
      </w:r>
      <w:r>
        <w:rPr>
          <w:rFonts w:hint="eastAsia" w:ascii="仿宋_GB2312" w:hAnsi="宋体" w:cs="宋体"/>
          <w:szCs w:val="32"/>
          <w:u w:val="none"/>
        </w:rPr>
        <w:t>STS项目、引导性项目、成果转化项目、科技创新平台建设项目、中央引导地方科技发展项目</w:t>
      </w:r>
      <w:r>
        <w:rPr>
          <w:rFonts w:hint="eastAsia" w:ascii="仿宋_GB2312" w:hAnsi="宋体" w:cs="宋体"/>
          <w:szCs w:val="32"/>
          <w:u w:val="none"/>
          <w:lang w:eastAsia="zh-CN"/>
        </w:rPr>
        <w:t>、福厦泉国家自主创新示范区协同创新平台项目</w:t>
      </w:r>
      <w:r>
        <w:rPr>
          <w:rFonts w:hint="eastAsia" w:ascii="仿宋_GB2312" w:hAnsi="宋体" w:cs="宋体"/>
          <w:szCs w:val="32"/>
          <w:u w:val="none"/>
        </w:rPr>
        <w:t>。</w:t>
      </w:r>
      <w:bookmarkEnd w:id="5"/>
      <w:r>
        <w:rPr>
          <w:rFonts w:hint="eastAsia" w:ascii="仿宋_GB2312" w:hAnsi="宋体" w:cs="宋体"/>
          <w:szCs w:val="32"/>
          <w:u w:val="none"/>
        </w:rPr>
        <w:t>项目负责人在项目结束时年龄原则上不超过延迟退休后的法定退休年龄。由企业牵头申报的项目，项目结束时负责人年龄可以放宽到65周岁。参与本批次“揭榜挂帅（科技重大专项）”项目榜单（选题）凝练和论证的专家，不得牵头或参与</w:t>
      </w:r>
      <w:r>
        <w:rPr>
          <w:rFonts w:hint="eastAsia" w:ascii="仿宋_GB2312" w:hAnsi="宋体" w:cs="宋体"/>
          <w:szCs w:val="32"/>
          <w:u w:val="none"/>
          <w:lang w:eastAsia="zh-CN"/>
        </w:rPr>
        <w:t>本人参加咨询论证</w:t>
      </w:r>
      <w:r>
        <w:rPr>
          <w:rFonts w:hint="eastAsia" w:ascii="仿宋_GB2312" w:hAnsi="宋体" w:cs="宋体"/>
          <w:szCs w:val="32"/>
          <w:u w:val="none"/>
        </w:rPr>
        <w:t>项目</w:t>
      </w:r>
      <w:r>
        <w:rPr>
          <w:rFonts w:hint="eastAsia" w:ascii="仿宋_GB2312" w:hAnsi="宋体" w:cs="宋体"/>
          <w:szCs w:val="32"/>
          <w:u w:val="none"/>
          <w:lang w:eastAsia="zh-CN"/>
        </w:rPr>
        <w:t>的申报</w:t>
      </w:r>
      <w:r>
        <w:rPr>
          <w:rFonts w:hint="eastAsia" w:ascii="仿宋_GB2312" w:hAnsi="宋体" w:cs="宋体"/>
          <w:szCs w:val="32"/>
          <w:u w:val="none"/>
        </w:rPr>
        <w:t>。</w:t>
      </w:r>
    </w:p>
    <w:p w14:paraId="0EB44094">
      <w:pPr>
        <w:keepNext w:val="0"/>
        <w:keepLines w:val="0"/>
        <w:pageBreakBefore w:val="0"/>
        <w:kinsoku/>
        <w:overflowPunct/>
        <w:topLinePunct w:val="0"/>
        <w:autoSpaceDE/>
        <w:autoSpaceDN/>
        <w:bidi w:val="0"/>
        <w:spacing w:line="600" w:lineRule="exact"/>
        <w:ind w:firstLine="674" w:firstLineChars="200"/>
        <w:textAlignment w:val="auto"/>
        <w:rPr>
          <w:rFonts w:ascii="仿宋_GB2312" w:hAnsi="宋体" w:cs="宋体"/>
          <w:szCs w:val="32"/>
          <w:u w:val="none"/>
        </w:rPr>
      </w:pPr>
      <w:r>
        <w:rPr>
          <w:rFonts w:hint="eastAsia" w:ascii="仿宋_GB2312" w:hAnsi="仿宋_GB2312" w:cs="仿宋_GB2312"/>
          <w:u w:val="none"/>
        </w:rPr>
        <w:t>各推荐主管部门、项目承担单位应推动整合优势创新团队，积极吸纳女性科研人员、青年科研人员，高技能科研人员等群体参与项目研发，</w:t>
      </w:r>
      <w:bookmarkStart w:id="6" w:name="_Hlk152768054"/>
      <w:r>
        <w:rPr>
          <w:rFonts w:hint="eastAsia" w:ascii="仿宋_GB2312" w:hAnsi="仿宋_GB2312" w:cs="仿宋_GB2312"/>
          <w:u w:val="none"/>
        </w:rPr>
        <w:t>支持青年科技人才“担大任”“挑大梁”</w:t>
      </w:r>
      <w:bookmarkEnd w:id="6"/>
      <w:r>
        <w:rPr>
          <w:rFonts w:hint="eastAsia" w:ascii="仿宋_GB2312" w:hAnsi="仿宋_GB2312" w:cs="仿宋_GB2312"/>
          <w:u w:val="none"/>
        </w:rPr>
        <w:t>。</w:t>
      </w:r>
      <w:r>
        <w:rPr>
          <w:rFonts w:hint="eastAsia" w:ascii="仿宋_GB2312" w:hAnsi="宋体" w:cs="宋体"/>
          <w:szCs w:val="32"/>
          <w:u w:val="none"/>
        </w:rPr>
        <w:t>鼓励支持</w:t>
      </w:r>
      <w:r>
        <w:rPr>
          <w:rFonts w:ascii="仿宋_GB2312" w:hAnsi="宋体" w:cs="宋体"/>
          <w:szCs w:val="32"/>
          <w:u w:val="none"/>
        </w:rPr>
        <w:t>科技领军人才</w:t>
      </w:r>
      <w:r>
        <w:rPr>
          <w:rFonts w:hint="eastAsia" w:ascii="仿宋_GB2312" w:hAnsi="宋体" w:cs="宋体"/>
          <w:szCs w:val="32"/>
          <w:u w:val="none"/>
        </w:rPr>
        <w:t>、</w:t>
      </w:r>
      <w:r>
        <w:rPr>
          <w:rFonts w:hint="eastAsia" w:ascii="仿宋_GB2312" w:hAnsi="仿宋_GB2312" w:cs="仿宋_GB2312"/>
          <w:u w:val="none"/>
        </w:rPr>
        <w:t>有能力的女性科技人才、青年科技人才、高技能人才等作为项目负责人“揭榜</w:t>
      </w:r>
      <w:r>
        <w:rPr>
          <w:rFonts w:ascii="仿宋_GB2312" w:hAnsi="宋体" w:cs="宋体"/>
          <w:szCs w:val="32"/>
          <w:u w:val="none"/>
        </w:rPr>
        <w:t>挂帅</w:t>
      </w:r>
      <w:r>
        <w:rPr>
          <w:rFonts w:hint="eastAsia" w:ascii="仿宋_GB2312" w:hAnsi="仿宋_GB2312" w:cs="仿宋_GB2312"/>
          <w:u w:val="none"/>
        </w:rPr>
        <w:t>”，领衔担纲承担任务。</w:t>
      </w:r>
    </w:p>
    <w:p w14:paraId="3E0E9C34">
      <w:pPr>
        <w:keepNext w:val="0"/>
        <w:keepLines w:val="0"/>
        <w:pageBreakBefore w:val="0"/>
        <w:numPr>
          <w:ilvl w:val="0"/>
          <w:numId w:val="2"/>
        </w:numPr>
        <w:kinsoku/>
        <w:overflowPunct/>
        <w:topLinePunct w:val="0"/>
        <w:autoSpaceDE/>
        <w:autoSpaceDN/>
        <w:bidi w:val="0"/>
        <w:spacing w:line="600" w:lineRule="exact"/>
        <w:ind w:firstLine="674" w:firstLineChars="200"/>
        <w:textAlignment w:val="auto"/>
        <w:rPr>
          <w:rFonts w:hint="eastAsia" w:ascii="仿宋_GB2312"/>
          <w:szCs w:val="32"/>
          <w:u w:val="none"/>
        </w:rPr>
      </w:pPr>
      <w:r>
        <w:rPr>
          <w:rFonts w:hint="eastAsia" w:ascii="仿宋_GB2312"/>
          <w:szCs w:val="32"/>
          <w:u w:val="none"/>
        </w:rPr>
        <w:t>项目牵头申报单位、法人代表、项目负责人及课题组成员不得是失信被执行人，不得</w:t>
      </w:r>
      <w:r>
        <w:rPr>
          <w:rFonts w:hint="eastAsia" w:ascii="仿宋_GB2312"/>
          <w:szCs w:val="32"/>
          <w:u w:val="none"/>
          <w:lang w:eastAsia="zh-CN"/>
        </w:rPr>
        <w:t>有惩戒期内科研失信行为</w:t>
      </w:r>
      <w:r>
        <w:rPr>
          <w:rFonts w:hint="eastAsia" w:ascii="仿宋_GB2312"/>
          <w:szCs w:val="32"/>
          <w:u w:val="none"/>
        </w:rPr>
        <w:t>。项目申报单位及项目负责人应保证所提供申报项目信息的真实性，并对信息虚假导致的后果承担责任。</w:t>
      </w:r>
    </w:p>
    <w:p w14:paraId="0CCCEA45">
      <w:pPr>
        <w:keepNext w:val="0"/>
        <w:keepLines w:val="0"/>
        <w:pageBreakBefore w:val="0"/>
        <w:numPr>
          <w:ilvl w:val="0"/>
          <w:numId w:val="2"/>
        </w:numPr>
        <w:kinsoku/>
        <w:overflowPunct/>
        <w:topLinePunct w:val="0"/>
        <w:autoSpaceDE/>
        <w:autoSpaceDN/>
        <w:bidi w:val="0"/>
        <w:spacing w:line="600" w:lineRule="exact"/>
        <w:ind w:firstLine="674" w:firstLineChars="200"/>
        <w:textAlignment w:val="auto"/>
        <w:rPr>
          <w:rFonts w:hint="eastAsia" w:ascii="仿宋_GB2312"/>
          <w:szCs w:val="32"/>
          <w:u w:val="none"/>
        </w:rPr>
      </w:pPr>
      <w:r>
        <w:rPr>
          <w:rFonts w:hint="eastAsia" w:ascii="仿宋_GB2312"/>
          <w:szCs w:val="32"/>
          <w:u w:val="none"/>
        </w:rPr>
        <w:t>申报项目研发起始时间为202</w:t>
      </w:r>
      <w:r>
        <w:rPr>
          <w:rFonts w:hint="eastAsia" w:ascii="仿宋_GB2312"/>
          <w:szCs w:val="32"/>
          <w:u w:val="none"/>
          <w:lang w:val="en-US" w:eastAsia="zh-CN"/>
        </w:rPr>
        <w:t>6</w:t>
      </w:r>
      <w:r>
        <w:rPr>
          <w:rFonts w:hint="eastAsia" w:ascii="仿宋_GB2312"/>
          <w:szCs w:val="32"/>
          <w:u w:val="none"/>
        </w:rPr>
        <w:t>年</w:t>
      </w:r>
      <w:r>
        <w:rPr>
          <w:rFonts w:hint="eastAsia" w:ascii="仿宋_GB2312"/>
          <w:szCs w:val="32"/>
          <w:u w:val="none"/>
          <w:lang w:val="en-US" w:eastAsia="zh-CN"/>
        </w:rPr>
        <w:t>12</w:t>
      </w:r>
      <w:r>
        <w:rPr>
          <w:rFonts w:hint="eastAsia" w:ascii="仿宋_GB2312"/>
          <w:szCs w:val="32"/>
          <w:u w:val="none"/>
        </w:rPr>
        <w:t>月</w:t>
      </w:r>
      <w:r>
        <w:rPr>
          <w:rFonts w:hint="eastAsia" w:ascii="仿宋_GB2312"/>
          <w:szCs w:val="32"/>
          <w:u w:val="none"/>
          <w:lang w:val="en-US" w:eastAsia="zh-CN"/>
        </w:rPr>
        <w:t>28</w:t>
      </w:r>
      <w:r>
        <w:rPr>
          <w:rFonts w:hint="eastAsia" w:ascii="仿宋_GB2312"/>
          <w:szCs w:val="32"/>
          <w:u w:val="none"/>
        </w:rPr>
        <w:t>日，项目研发攻关时限按照选题表/榜单要求，</w:t>
      </w:r>
      <w:r>
        <w:rPr>
          <w:rFonts w:hint="eastAsia" w:ascii="仿宋_GB2312" w:hAnsi="仿宋_GB2312" w:cs="仿宋_GB2312"/>
          <w:szCs w:val="32"/>
          <w:u w:val="none"/>
        </w:rPr>
        <w:t>项目执行时间原则上不超过三年</w:t>
      </w:r>
      <w:r>
        <w:rPr>
          <w:rFonts w:hint="eastAsia" w:ascii="仿宋_GB2312"/>
          <w:szCs w:val="32"/>
          <w:u w:val="none"/>
        </w:rPr>
        <w:t>。</w:t>
      </w:r>
    </w:p>
    <w:p w14:paraId="2437F4B7">
      <w:pPr>
        <w:keepNext w:val="0"/>
        <w:keepLines w:val="0"/>
        <w:pageBreakBefore w:val="0"/>
        <w:numPr>
          <w:ilvl w:val="0"/>
          <w:numId w:val="2"/>
        </w:numPr>
        <w:kinsoku/>
        <w:overflowPunct/>
        <w:topLinePunct w:val="0"/>
        <w:autoSpaceDE/>
        <w:autoSpaceDN/>
        <w:bidi w:val="0"/>
        <w:spacing w:line="560" w:lineRule="exact"/>
        <w:ind w:firstLine="674" w:firstLineChars="200"/>
        <w:textAlignment w:val="auto"/>
        <w:rPr>
          <w:rFonts w:hint="eastAsia" w:ascii="仿宋_GB2312" w:hAnsi="宋体"/>
          <w:szCs w:val="32"/>
          <w:u w:val="none"/>
        </w:rPr>
      </w:pPr>
      <w:r>
        <w:rPr>
          <w:rFonts w:hint="eastAsia" w:ascii="仿宋_GB2312"/>
          <w:szCs w:val="32"/>
          <w:u w:val="none"/>
        </w:rPr>
        <w:t>申请书相关附件：</w:t>
      </w:r>
      <w:r>
        <w:rPr>
          <w:rFonts w:hint="eastAsia" w:ascii="仿宋_GB2312" w:hAnsi="宋体" w:cs="宋体"/>
          <w:kern w:val="0"/>
          <w:szCs w:val="32"/>
          <w:u w:val="none"/>
        </w:rPr>
        <w:t>合作协议书、</w:t>
      </w:r>
      <w:r>
        <w:rPr>
          <w:rFonts w:hint="eastAsia" w:ascii="仿宋_GB2312" w:hAnsi="宋体" w:cs="宋体"/>
          <w:szCs w:val="32"/>
          <w:u w:val="none"/>
        </w:rPr>
        <w:t>高新技术企业证书或</w:t>
      </w:r>
      <w:r>
        <w:rPr>
          <w:rFonts w:hint="eastAsia" w:ascii="仿宋_GB2312" w:hAnsi="宋体"/>
          <w:szCs w:val="32"/>
          <w:u w:val="none"/>
        </w:rPr>
        <w:t>企业研发经费投入结构明细表（加盖企业财务章）、体现经营收入的</w:t>
      </w:r>
      <w:r>
        <w:rPr>
          <w:rFonts w:ascii="仿宋_GB2312" w:hAnsi="宋体"/>
          <w:szCs w:val="32"/>
          <w:u w:val="none"/>
        </w:rPr>
        <w:t>企业上年度</w:t>
      </w:r>
      <w:r>
        <w:rPr>
          <w:rFonts w:hint="eastAsia" w:ascii="仿宋_GB2312" w:hAnsi="宋体"/>
          <w:szCs w:val="32"/>
          <w:u w:val="none"/>
        </w:rPr>
        <w:t>利润</w:t>
      </w:r>
      <w:r>
        <w:rPr>
          <w:rFonts w:ascii="仿宋_GB2312" w:hAnsi="宋体"/>
          <w:szCs w:val="32"/>
          <w:u w:val="none"/>
        </w:rPr>
        <w:t>表</w:t>
      </w:r>
      <w:r>
        <w:rPr>
          <w:rFonts w:hint="eastAsia" w:ascii="仿宋_GB2312" w:hAnsi="宋体"/>
          <w:szCs w:val="32"/>
          <w:u w:val="none"/>
        </w:rPr>
        <w:t>（加盖企业财务章）</w:t>
      </w:r>
      <w:r>
        <w:rPr>
          <w:rFonts w:hint="eastAsia" w:ascii="仿宋_GB2312"/>
          <w:color w:val="000000"/>
          <w:szCs w:val="32"/>
          <w:u w:val="none"/>
        </w:rPr>
        <w:t>或</w:t>
      </w:r>
      <w:r>
        <w:rPr>
          <w:rFonts w:hint="eastAsia" w:ascii="仿宋_GB2312"/>
          <w:color w:val="000000"/>
          <w:szCs w:val="32"/>
          <w:u w:val="none"/>
          <w:lang w:eastAsia="zh-CN"/>
        </w:rPr>
        <w:t>省</w:t>
      </w:r>
      <w:r>
        <w:rPr>
          <w:rFonts w:hint="eastAsia" w:ascii="仿宋_GB2312"/>
          <w:color w:val="000000"/>
          <w:szCs w:val="32"/>
          <w:u w:val="none"/>
        </w:rPr>
        <w:t>级以上农</w:t>
      </w:r>
      <w:r>
        <w:rPr>
          <w:rFonts w:hint="eastAsia" w:ascii="仿宋_GB2312"/>
          <w:color w:val="000000"/>
          <w:szCs w:val="32"/>
          <w:u w:val="none"/>
          <w:lang w:eastAsia="zh-CN"/>
        </w:rPr>
        <w:t>（林）</w:t>
      </w:r>
      <w:r>
        <w:rPr>
          <w:rFonts w:hint="eastAsia" w:ascii="仿宋_GB2312"/>
          <w:color w:val="000000"/>
          <w:szCs w:val="32"/>
          <w:u w:val="none"/>
        </w:rPr>
        <w:t>业产业化龙头企业证书、</w:t>
      </w:r>
      <w:r>
        <w:rPr>
          <w:rFonts w:hint="eastAsia" w:ascii="仿宋_GB2312" w:cs="宋体"/>
          <w:kern w:val="0"/>
          <w:szCs w:val="32"/>
          <w:u w:val="none"/>
          <w:lang w:val="en-US" w:eastAsia="zh-CN"/>
        </w:rPr>
        <w:t>省“揭榜挂帅（科技重大专项）”项目申报承诺书</w:t>
      </w:r>
      <w:r>
        <w:rPr>
          <w:rFonts w:hint="eastAsia" w:ascii="仿宋_GB2312" w:hAnsi="宋体"/>
          <w:szCs w:val="32"/>
          <w:u w:val="none"/>
        </w:rPr>
        <w:t>等。</w:t>
      </w:r>
      <w:r>
        <w:rPr>
          <w:rFonts w:hint="eastAsia" w:ascii="仿宋_GB2312" w:hAnsi="宋体"/>
          <w:szCs w:val="32"/>
          <w:u w:val="none"/>
          <w:lang w:eastAsia="zh-CN"/>
        </w:rPr>
        <w:t>成果转化项目除以上材料外还需提供其他材料，详见成果转化项目榜单附件。</w:t>
      </w:r>
    </w:p>
    <w:p w14:paraId="41C0FD57">
      <w:pPr>
        <w:keepNext w:val="0"/>
        <w:keepLines w:val="0"/>
        <w:pageBreakBefore w:val="0"/>
        <w:kinsoku/>
        <w:overflowPunct/>
        <w:topLinePunct w:val="0"/>
        <w:autoSpaceDE/>
        <w:autoSpaceDN/>
        <w:bidi w:val="0"/>
        <w:spacing w:line="600" w:lineRule="exact"/>
        <w:ind w:firstLine="674" w:firstLineChars="200"/>
        <w:textAlignment w:val="auto"/>
        <w:outlineLvl w:val="9"/>
        <w:rPr>
          <w:rFonts w:hint="eastAsia" w:ascii="黑体" w:hAnsi="宋体" w:eastAsia="黑体"/>
          <w:kern w:val="0"/>
          <w:szCs w:val="32"/>
          <w:u w:val="none"/>
        </w:rPr>
      </w:pPr>
      <w:r>
        <w:rPr>
          <w:rFonts w:hint="eastAsia" w:ascii="黑体" w:hAnsi="宋体" w:eastAsia="黑体"/>
          <w:bCs/>
          <w:kern w:val="0"/>
          <w:szCs w:val="32"/>
          <w:u w:val="none"/>
        </w:rPr>
        <w:t>二、申报程序</w:t>
      </w:r>
    </w:p>
    <w:p w14:paraId="73FB45A8">
      <w:pPr>
        <w:keepNext w:val="0"/>
        <w:keepLines w:val="0"/>
        <w:pageBreakBefore w:val="0"/>
        <w:kinsoku/>
        <w:overflowPunct/>
        <w:topLinePunct w:val="0"/>
        <w:autoSpaceDE/>
        <w:autoSpaceDN/>
        <w:bidi w:val="0"/>
        <w:spacing w:line="600" w:lineRule="exact"/>
        <w:ind w:firstLine="674" w:firstLineChars="200"/>
        <w:textAlignment w:val="auto"/>
        <w:rPr>
          <w:rFonts w:hint="eastAsia" w:ascii="仿宋_GB2312"/>
          <w:szCs w:val="32"/>
          <w:u w:val="none"/>
        </w:rPr>
      </w:pPr>
      <w:r>
        <w:rPr>
          <w:rFonts w:hint="eastAsia" w:ascii="仿宋_GB2312"/>
          <w:szCs w:val="32"/>
          <w:u w:val="none"/>
        </w:rPr>
        <w:t>本批项目网上申报时间为202</w:t>
      </w:r>
      <w:r>
        <w:rPr>
          <w:rFonts w:hint="eastAsia" w:ascii="仿宋_GB2312"/>
          <w:szCs w:val="32"/>
          <w:u w:val="none"/>
          <w:lang w:val="en-US" w:eastAsia="zh-CN"/>
        </w:rPr>
        <w:t>6</w:t>
      </w:r>
      <w:r>
        <w:rPr>
          <w:rFonts w:hint="eastAsia" w:ascii="仿宋_GB2312"/>
          <w:szCs w:val="32"/>
          <w:u w:val="none"/>
        </w:rPr>
        <w:t>年</w:t>
      </w:r>
      <w:r>
        <w:rPr>
          <w:rFonts w:hint="eastAsia" w:ascii="仿宋_GB2312"/>
          <w:szCs w:val="32"/>
          <w:u w:val="none"/>
          <w:lang w:val="en-US" w:eastAsia="zh-CN"/>
        </w:rPr>
        <w:t>11</w:t>
      </w:r>
      <w:r>
        <w:rPr>
          <w:rFonts w:hint="eastAsia" w:ascii="仿宋_GB2312"/>
          <w:szCs w:val="32"/>
          <w:u w:val="none"/>
        </w:rPr>
        <w:t>月</w:t>
      </w:r>
      <w:r>
        <w:rPr>
          <w:rFonts w:hint="default" w:ascii="仿宋_GB2312"/>
          <w:szCs w:val="32"/>
          <w:u w:val="none"/>
          <w:lang w:val="en" w:eastAsia="zh-CN"/>
        </w:rPr>
        <w:t>4</w:t>
      </w:r>
      <w:r>
        <w:rPr>
          <w:rFonts w:hint="eastAsia" w:ascii="仿宋_GB2312"/>
          <w:szCs w:val="32"/>
          <w:u w:val="none"/>
        </w:rPr>
        <w:t>日至202</w:t>
      </w:r>
      <w:r>
        <w:rPr>
          <w:rFonts w:hint="eastAsia" w:ascii="仿宋_GB2312"/>
          <w:szCs w:val="32"/>
          <w:u w:val="none"/>
          <w:lang w:val="en-US" w:eastAsia="zh-CN"/>
        </w:rPr>
        <w:t>6</w:t>
      </w:r>
      <w:r>
        <w:rPr>
          <w:rFonts w:hint="eastAsia" w:ascii="仿宋_GB2312"/>
          <w:szCs w:val="32"/>
          <w:u w:val="none"/>
        </w:rPr>
        <w:t>年</w:t>
      </w:r>
      <w:r>
        <w:rPr>
          <w:rFonts w:hint="eastAsia" w:ascii="仿宋_GB2312"/>
          <w:szCs w:val="32"/>
          <w:u w:val="none"/>
          <w:lang w:val="en-US" w:eastAsia="zh-CN"/>
        </w:rPr>
        <w:t>11</w:t>
      </w:r>
      <w:r>
        <w:rPr>
          <w:rFonts w:hint="eastAsia" w:ascii="仿宋_GB2312"/>
          <w:szCs w:val="32"/>
          <w:u w:val="none"/>
        </w:rPr>
        <w:t>月</w:t>
      </w:r>
      <w:r>
        <w:rPr>
          <w:rFonts w:hint="default" w:ascii="仿宋_GB2312"/>
          <w:szCs w:val="32"/>
          <w:u w:val="none"/>
          <w:lang w:val="en" w:eastAsia="zh-CN"/>
        </w:rPr>
        <w:t>17</w:t>
      </w:r>
      <w:r>
        <w:rPr>
          <w:rFonts w:hint="eastAsia" w:ascii="仿宋_GB2312"/>
          <w:szCs w:val="32"/>
          <w:u w:val="none"/>
        </w:rPr>
        <w:t>日（申报截止，超过时间将不能提交申请书）。推荐截止时间为202</w:t>
      </w:r>
      <w:r>
        <w:rPr>
          <w:rFonts w:hint="eastAsia" w:ascii="仿宋_GB2312"/>
          <w:szCs w:val="32"/>
          <w:u w:val="none"/>
          <w:lang w:val="en-US" w:eastAsia="zh-CN"/>
        </w:rPr>
        <w:t>6</w:t>
      </w:r>
      <w:r>
        <w:rPr>
          <w:rFonts w:hint="eastAsia" w:ascii="仿宋_GB2312"/>
          <w:szCs w:val="32"/>
          <w:u w:val="none"/>
        </w:rPr>
        <w:t>年</w:t>
      </w:r>
      <w:r>
        <w:rPr>
          <w:rFonts w:hint="eastAsia" w:ascii="仿宋_GB2312"/>
          <w:szCs w:val="32"/>
          <w:u w:val="none"/>
          <w:lang w:val="en-US" w:eastAsia="zh-CN"/>
        </w:rPr>
        <w:t>11</w:t>
      </w:r>
      <w:r>
        <w:rPr>
          <w:rFonts w:hint="eastAsia" w:ascii="仿宋_GB2312"/>
          <w:szCs w:val="32"/>
          <w:u w:val="none"/>
        </w:rPr>
        <w:t>月</w:t>
      </w:r>
      <w:r>
        <w:rPr>
          <w:rFonts w:hint="default" w:ascii="仿宋_GB2312"/>
          <w:szCs w:val="32"/>
          <w:u w:val="none"/>
          <w:lang w:val="en" w:eastAsia="zh-CN"/>
        </w:rPr>
        <w:t>24</w:t>
      </w:r>
      <w:r>
        <w:rPr>
          <w:rFonts w:hint="eastAsia" w:ascii="仿宋_GB2312"/>
          <w:szCs w:val="32"/>
          <w:u w:val="none"/>
        </w:rPr>
        <w:t>日（系统关闭）。</w:t>
      </w:r>
    </w:p>
    <w:p w14:paraId="72764F68">
      <w:pPr>
        <w:keepNext w:val="0"/>
        <w:keepLines w:val="0"/>
        <w:pageBreakBefore w:val="0"/>
        <w:kinsoku/>
        <w:wordWrap w:val="0"/>
        <w:overflowPunct/>
        <w:topLinePunct w:val="0"/>
        <w:autoSpaceDE/>
        <w:autoSpaceDN/>
        <w:bidi w:val="0"/>
        <w:snapToGrid w:val="0"/>
        <w:spacing w:line="600" w:lineRule="exact"/>
        <w:ind w:firstLine="674" w:firstLineChars="200"/>
        <w:textAlignment w:val="auto"/>
        <w:rPr>
          <w:rFonts w:hint="eastAsia" w:ascii="仿宋_GB2312" w:hAnsi="宋体" w:cs="宋体"/>
          <w:kern w:val="0"/>
          <w:szCs w:val="32"/>
          <w:u w:val="none"/>
        </w:rPr>
      </w:pPr>
      <w:r>
        <w:rPr>
          <w:rFonts w:hint="eastAsia" w:ascii="仿宋_GB2312"/>
          <w:szCs w:val="32"/>
          <w:u w:val="none"/>
        </w:rPr>
        <w:t>申报单位注册登录福建省科技计划项目管理系统网上</w:t>
      </w:r>
      <w:r>
        <w:rPr>
          <w:rFonts w:hint="eastAsia" w:ascii="仿宋_GB2312" w:hAnsi="宋体" w:cs="仿宋_GB2312"/>
          <w:szCs w:val="32"/>
          <w:u w:val="none"/>
        </w:rPr>
        <w:t>填报《</w:t>
      </w:r>
      <w:r>
        <w:rPr>
          <w:rFonts w:ascii="仿宋_GB2312"/>
          <w:szCs w:val="32"/>
          <w:u w:val="none"/>
        </w:rPr>
        <w:t>福建省科技计划项目</w:t>
      </w:r>
      <w:r>
        <w:rPr>
          <w:rFonts w:hint="eastAsia" w:ascii="仿宋_GB2312"/>
          <w:szCs w:val="32"/>
          <w:u w:val="none"/>
        </w:rPr>
        <w:t>申请书</w:t>
      </w:r>
      <w:r>
        <w:rPr>
          <w:rFonts w:hint="eastAsia" w:ascii="仿宋_GB2312" w:hAnsi="宋体" w:cs="仿宋_GB2312"/>
          <w:szCs w:val="32"/>
          <w:u w:val="none"/>
        </w:rPr>
        <w:t>》</w:t>
      </w:r>
      <w:r>
        <w:rPr>
          <w:rFonts w:hint="eastAsia" w:ascii="仿宋_GB2312"/>
          <w:szCs w:val="32"/>
          <w:u w:val="none"/>
        </w:rPr>
        <w:t>申报材料。设区市科技局、平潭综合实验区、高校、省直有关单位和中央在闽单位归口审查网上推荐。省外科研单位揭榜时，推荐单位请选择福建省科学技术厅。</w:t>
      </w:r>
      <w:r>
        <w:rPr>
          <w:rFonts w:hint="eastAsia" w:ascii="仿宋_GB2312" w:hAnsi="宋体" w:cs="宋体"/>
          <w:kern w:val="0"/>
          <w:szCs w:val="32"/>
          <w:u w:val="none"/>
        </w:rPr>
        <w:t>具体申报流程为：申报单位注册登录福建省科技计划项目管理系统(</w:t>
      </w:r>
      <w:r>
        <w:rPr>
          <w:rFonts w:ascii="仿宋_GB2312" w:hAnsi="宋体" w:cs="宋体"/>
          <w:kern w:val="0"/>
          <w:szCs w:val="32"/>
          <w:u w:val="none"/>
        </w:rPr>
        <w:t>http://xmgl.kjt.fujian.gov.cn/</w:t>
      </w:r>
      <w:r>
        <w:rPr>
          <w:rFonts w:hint="eastAsia"/>
          <w:kern w:val="0"/>
          <w:szCs w:val="32"/>
          <w:u w:val="none"/>
        </w:rPr>
        <w:t> </w:t>
      </w:r>
      <w:r>
        <w:rPr>
          <w:rFonts w:hint="eastAsia" w:ascii="仿宋_GB2312" w:hAnsi="宋体" w:cs="宋体"/>
          <w:kern w:val="0"/>
          <w:szCs w:val="32"/>
          <w:u w:val="none"/>
        </w:rPr>
        <w:t>)─申报管理─增加项目申请书─</w:t>
      </w:r>
      <w:r>
        <w:rPr>
          <w:rFonts w:hint="eastAsia" w:ascii="仿宋_GB2312"/>
          <w:szCs w:val="32"/>
          <w:u w:val="none"/>
        </w:rPr>
        <w:t>选择对应指南代码和申请书</w:t>
      </w:r>
      <w:r>
        <w:rPr>
          <w:rFonts w:hint="eastAsia" w:ascii="仿宋_GB2312" w:hAnsi="宋体" w:cs="宋体"/>
          <w:kern w:val="0"/>
          <w:szCs w:val="32"/>
          <w:u w:val="none"/>
        </w:rPr>
        <w:t>─填报</w:t>
      </w:r>
      <w:r>
        <w:rPr>
          <w:rFonts w:hint="eastAsia" w:ascii="仿宋_GB2312" w:hAnsi="宋体" w:cs="仿宋_GB2312"/>
          <w:szCs w:val="32"/>
          <w:u w:val="none"/>
        </w:rPr>
        <w:t>《</w:t>
      </w:r>
      <w:r>
        <w:rPr>
          <w:rFonts w:ascii="仿宋_GB2312"/>
          <w:szCs w:val="32"/>
          <w:u w:val="none"/>
        </w:rPr>
        <w:t>福建省科技计划项目</w:t>
      </w:r>
      <w:r>
        <w:rPr>
          <w:rFonts w:hint="eastAsia" w:ascii="仿宋_GB2312"/>
          <w:szCs w:val="32"/>
          <w:u w:val="none"/>
        </w:rPr>
        <w:t>申请书</w:t>
      </w:r>
      <w:r>
        <w:rPr>
          <w:rFonts w:hint="eastAsia" w:ascii="仿宋_GB2312" w:hAnsi="宋体" w:cs="仿宋_GB2312"/>
          <w:szCs w:val="32"/>
          <w:u w:val="none"/>
        </w:rPr>
        <w:t>》</w:t>
      </w:r>
      <w:r>
        <w:rPr>
          <w:rFonts w:hint="eastAsia" w:ascii="仿宋_GB2312" w:hAnsi="宋体" w:cs="宋体"/>
          <w:kern w:val="0"/>
          <w:szCs w:val="32"/>
          <w:u w:val="none"/>
        </w:rPr>
        <w:t>─上传有关附件资料（</w:t>
      </w:r>
      <w:r>
        <w:rPr>
          <w:rFonts w:hint="eastAsia" w:ascii="仿宋_GB2312"/>
          <w:szCs w:val="32"/>
          <w:u w:val="none"/>
        </w:rPr>
        <w:t>合作协议书、高新技术企业证书、</w:t>
      </w:r>
      <w:r>
        <w:rPr>
          <w:rFonts w:hint="eastAsia" w:ascii="仿宋_GB2312" w:hAnsi="宋体"/>
          <w:szCs w:val="32"/>
          <w:u w:val="none"/>
        </w:rPr>
        <w:t>企业研发经费投入结构明细表、体现经营收入的</w:t>
      </w:r>
      <w:r>
        <w:rPr>
          <w:rFonts w:ascii="仿宋_GB2312" w:hAnsi="宋体"/>
          <w:szCs w:val="32"/>
          <w:u w:val="none"/>
        </w:rPr>
        <w:t>企业上年度利润表</w:t>
      </w:r>
      <w:r>
        <w:rPr>
          <w:rFonts w:hint="eastAsia" w:ascii="仿宋_GB2312" w:hAnsi="宋体"/>
          <w:szCs w:val="32"/>
          <w:u w:val="none"/>
        </w:rPr>
        <w:t>、</w:t>
      </w:r>
      <w:r>
        <w:rPr>
          <w:rFonts w:hint="eastAsia" w:ascii="仿宋_GB2312" w:hAnsi="宋体"/>
          <w:szCs w:val="32"/>
          <w:u w:val="none"/>
          <w:lang w:eastAsia="zh-CN"/>
        </w:rPr>
        <w:t>省</w:t>
      </w:r>
      <w:r>
        <w:rPr>
          <w:rFonts w:hint="eastAsia" w:ascii="仿宋_GB2312"/>
          <w:color w:val="000000"/>
          <w:szCs w:val="32"/>
          <w:u w:val="none"/>
        </w:rPr>
        <w:t>级以上农</w:t>
      </w:r>
      <w:r>
        <w:rPr>
          <w:rFonts w:hint="eastAsia" w:ascii="仿宋_GB2312"/>
          <w:color w:val="000000"/>
          <w:szCs w:val="32"/>
          <w:u w:val="none"/>
          <w:lang w:eastAsia="zh-CN"/>
        </w:rPr>
        <w:t>（林）</w:t>
      </w:r>
      <w:r>
        <w:rPr>
          <w:rFonts w:hint="eastAsia" w:ascii="仿宋_GB2312"/>
          <w:color w:val="000000"/>
          <w:szCs w:val="32"/>
          <w:u w:val="none"/>
        </w:rPr>
        <w:t>业产业化龙头企业证书、</w:t>
      </w:r>
      <w:r>
        <w:rPr>
          <w:rFonts w:hint="eastAsia" w:ascii="仿宋_GB2312" w:cs="宋体"/>
          <w:kern w:val="0"/>
          <w:szCs w:val="32"/>
          <w:u w:val="none"/>
          <w:lang w:val="en-US" w:eastAsia="zh-CN"/>
        </w:rPr>
        <w:t>省“揭榜挂帅（科技重大专项）”项目申报承诺书</w:t>
      </w:r>
      <w:r>
        <w:rPr>
          <w:rFonts w:hint="eastAsia" w:ascii="仿宋_GB2312" w:hAnsi="宋体" w:cs="宋体"/>
          <w:kern w:val="0"/>
          <w:szCs w:val="32"/>
          <w:u w:val="none"/>
        </w:rPr>
        <w:t>等）。</w:t>
      </w:r>
    </w:p>
    <w:p w14:paraId="25D42A5D">
      <w:pPr>
        <w:keepNext w:val="0"/>
        <w:keepLines w:val="0"/>
        <w:pageBreakBefore w:val="0"/>
        <w:kinsoku/>
        <w:overflowPunct/>
        <w:topLinePunct w:val="0"/>
        <w:autoSpaceDE/>
        <w:autoSpaceDN/>
        <w:bidi w:val="0"/>
        <w:snapToGrid w:val="0"/>
        <w:spacing w:line="600" w:lineRule="exact"/>
        <w:ind w:firstLine="674" w:firstLineChars="200"/>
        <w:textAlignment w:val="auto"/>
        <w:rPr>
          <w:rFonts w:hint="eastAsia" w:ascii="仿宋_GB2312"/>
          <w:szCs w:val="32"/>
          <w:u w:val="none"/>
        </w:rPr>
      </w:pPr>
      <w:r>
        <w:rPr>
          <w:rFonts w:hint="eastAsia" w:ascii="仿宋_GB2312"/>
          <w:kern w:val="0"/>
          <w:szCs w:val="32"/>
          <w:u w:val="none"/>
        </w:rPr>
        <w:t>推荐单位通过省级项目推荐流程进行内部审核，</w:t>
      </w:r>
      <w:r>
        <w:rPr>
          <w:rFonts w:hint="eastAsia" w:ascii="仿宋_GB2312"/>
          <w:kern w:val="0"/>
          <w:szCs w:val="32"/>
          <w:u w:val="none"/>
          <w:lang w:eastAsia="zh-CN"/>
        </w:rPr>
        <w:t>上传项目现场调研核实意见表、推荐函以及项目汇总表，</w:t>
      </w:r>
      <w:r>
        <w:rPr>
          <w:rFonts w:hint="eastAsia" w:ascii="仿宋_GB2312"/>
          <w:kern w:val="0"/>
          <w:szCs w:val="32"/>
          <w:u w:val="none"/>
        </w:rPr>
        <w:t>并负责对申报材料进行网上推荐后，</w:t>
      </w:r>
      <w:r>
        <w:rPr>
          <w:rFonts w:hint="eastAsia" w:ascii="仿宋_GB2312"/>
          <w:szCs w:val="32"/>
          <w:u w:val="none"/>
        </w:rPr>
        <w:t>由申报单位通过项目管理系统打印纸质《</w:t>
      </w:r>
      <w:r>
        <w:rPr>
          <w:rFonts w:ascii="仿宋_GB2312"/>
          <w:szCs w:val="32"/>
          <w:u w:val="none"/>
        </w:rPr>
        <w:t>福建省科技计划项目</w:t>
      </w:r>
      <w:r>
        <w:rPr>
          <w:rFonts w:hint="eastAsia" w:ascii="仿宋_GB2312"/>
          <w:szCs w:val="32"/>
          <w:u w:val="none"/>
        </w:rPr>
        <w:t>申请书》及相关附件材料一式8份，逐级签章后由推荐单位汇总，报送省科技厅相关业务处。</w:t>
      </w:r>
    </w:p>
    <w:p w14:paraId="5A8AD253">
      <w:pPr>
        <w:keepNext w:val="0"/>
        <w:keepLines w:val="0"/>
        <w:pageBreakBefore w:val="0"/>
        <w:widowControl/>
        <w:kinsoku/>
        <w:overflowPunct/>
        <w:topLinePunct w:val="0"/>
        <w:autoSpaceDE/>
        <w:autoSpaceDN/>
        <w:bidi w:val="0"/>
        <w:spacing w:line="600" w:lineRule="exact"/>
        <w:ind w:firstLine="674" w:firstLineChars="200"/>
        <w:textAlignment w:val="auto"/>
        <w:outlineLvl w:val="0"/>
        <w:rPr>
          <w:rFonts w:hint="eastAsia" w:ascii="黑体" w:hAnsi="宋体" w:eastAsia="黑体" w:cs="宋体"/>
          <w:kern w:val="0"/>
          <w:szCs w:val="32"/>
          <w:u w:val="none"/>
        </w:rPr>
      </w:pPr>
      <w:r>
        <w:rPr>
          <w:rFonts w:hint="eastAsia" w:ascii="黑体" w:hAnsi="宋体" w:eastAsia="黑体" w:cs="宋体"/>
          <w:kern w:val="0"/>
          <w:szCs w:val="32"/>
          <w:u w:val="none"/>
        </w:rPr>
        <w:t>三、联系方式及其他事项</w:t>
      </w:r>
    </w:p>
    <w:p w14:paraId="37BD1D67">
      <w:pPr>
        <w:keepNext w:val="0"/>
        <w:keepLines w:val="0"/>
        <w:pageBreakBefore w:val="0"/>
        <w:widowControl/>
        <w:kinsoku/>
        <w:overflowPunct/>
        <w:topLinePunct w:val="0"/>
        <w:autoSpaceDE/>
        <w:autoSpaceDN/>
        <w:bidi w:val="0"/>
        <w:spacing w:line="600" w:lineRule="exact"/>
        <w:ind w:firstLine="645"/>
        <w:textAlignment w:val="auto"/>
        <w:rPr>
          <w:rFonts w:hint="eastAsia" w:ascii="仿宋_GB2312"/>
          <w:szCs w:val="32"/>
          <w:u w:val="none"/>
        </w:rPr>
      </w:pPr>
      <w:r>
        <w:rPr>
          <w:rFonts w:hint="eastAsia" w:ascii="仿宋_GB2312"/>
          <w:szCs w:val="32"/>
          <w:u w:val="none"/>
        </w:rPr>
        <w:t>在完成项目受理工作后，将统一组织项目查新、开展项目评审等工作，并根据评审结果组织项目申报单位对项目申报材料进行完善。</w:t>
      </w:r>
    </w:p>
    <w:p w14:paraId="0C296099">
      <w:pPr>
        <w:keepNext w:val="0"/>
        <w:keepLines w:val="0"/>
        <w:pageBreakBefore w:val="0"/>
        <w:widowControl/>
        <w:kinsoku/>
        <w:overflowPunct/>
        <w:topLinePunct w:val="0"/>
        <w:autoSpaceDE/>
        <w:autoSpaceDN/>
        <w:bidi w:val="0"/>
        <w:spacing w:line="600" w:lineRule="exact"/>
        <w:ind w:firstLine="645"/>
        <w:textAlignment w:val="auto"/>
        <w:rPr>
          <w:rFonts w:hint="eastAsia" w:ascii="仿宋_GB2312" w:hAnsi="宋体" w:cs="宋体"/>
          <w:szCs w:val="32"/>
          <w:u w:val="none"/>
        </w:rPr>
      </w:pPr>
      <w:r>
        <w:rPr>
          <w:rFonts w:hint="eastAsia" w:ascii="仿宋_GB2312"/>
          <w:szCs w:val="32"/>
          <w:u w:val="none"/>
        </w:rPr>
        <w:t>省科技重大专项专题实行科技报告制度，在项目实施和验收时须按要求呈交科技报告。</w:t>
      </w:r>
    </w:p>
    <w:p w14:paraId="47BC7FD3">
      <w:pPr>
        <w:keepNext w:val="0"/>
        <w:keepLines w:val="0"/>
        <w:pageBreakBefore w:val="0"/>
        <w:widowControl/>
        <w:kinsoku/>
        <w:overflowPunct/>
        <w:topLinePunct w:val="0"/>
        <w:autoSpaceDE/>
        <w:autoSpaceDN/>
        <w:bidi w:val="0"/>
        <w:spacing w:line="600" w:lineRule="exact"/>
        <w:ind w:firstLine="645"/>
        <w:textAlignment w:val="auto"/>
        <w:rPr>
          <w:rFonts w:hint="eastAsia" w:ascii="仿宋_GB2312" w:hAnsi="宋体" w:cs="宋体"/>
          <w:kern w:val="0"/>
          <w:szCs w:val="32"/>
          <w:u w:val="none"/>
        </w:rPr>
      </w:pPr>
      <w:r>
        <w:rPr>
          <w:rFonts w:hint="eastAsia" w:ascii="仿宋_GB2312" w:hAnsi="宋体" w:cs="宋体"/>
          <w:kern w:val="0"/>
          <w:szCs w:val="32"/>
          <w:u w:val="none"/>
        </w:rPr>
        <w:t>申报咨询联系方式：</w:t>
      </w:r>
    </w:p>
    <w:p w14:paraId="5BD22BAA">
      <w:pPr>
        <w:keepNext w:val="0"/>
        <w:keepLines w:val="0"/>
        <w:pageBreakBefore w:val="0"/>
        <w:widowControl/>
        <w:kinsoku/>
        <w:overflowPunct/>
        <w:topLinePunct w:val="0"/>
        <w:autoSpaceDE/>
        <w:autoSpaceDN/>
        <w:bidi w:val="0"/>
        <w:spacing w:line="600" w:lineRule="exact"/>
        <w:ind w:firstLine="645"/>
        <w:textAlignment w:val="auto"/>
        <w:rPr>
          <w:rFonts w:hint="default" w:ascii="仿宋_GB2312" w:hAnsi="宋体" w:cs="宋体"/>
          <w:kern w:val="0"/>
          <w:szCs w:val="32"/>
          <w:u w:val="none"/>
          <w:lang w:val="en-US" w:eastAsia="zh-CN"/>
        </w:rPr>
      </w:pPr>
      <w:r>
        <w:rPr>
          <w:rFonts w:hint="eastAsia" w:ascii="仿宋_GB2312" w:hAnsi="宋体" w:cs="宋体"/>
          <w:kern w:val="0"/>
          <w:szCs w:val="32"/>
          <w:u w:val="none"/>
          <w:lang w:eastAsia="zh-CN"/>
        </w:rPr>
        <w:t>高新处：联系电话</w:t>
      </w:r>
      <w:r>
        <w:rPr>
          <w:rFonts w:hint="eastAsia" w:ascii="仿宋_GB2312" w:hAnsi="宋体" w:cs="宋体"/>
          <w:kern w:val="0"/>
          <w:szCs w:val="32"/>
          <w:u w:val="none"/>
          <w:lang w:val="en-US" w:eastAsia="zh-CN"/>
        </w:rPr>
        <w:t xml:space="preserve"> 0591-87912017 87881293</w:t>
      </w:r>
    </w:p>
    <w:p w14:paraId="508E79E5">
      <w:pPr>
        <w:keepNext w:val="0"/>
        <w:keepLines w:val="0"/>
        <w:pageBreakBefore w:val="0"/>
        <w:widowControl/>
        <w:kinsoku/>
        <w:overflowPunct/>
        <w:topLinePunct w:val="0"/>
        <w:autoSpaceDE/>
        <w:autoSpaceDN/>
        <w:bidi w:val="0"/>
        <w:spacing w:line="600" w:lineRule="exact"/>
        <w:ind w:firstLine="645"/>
        <w:textAlignment w:val="auto"/>
        <w:rPr>
          <w:rFonts w:hint="default" w:ascii="仿宋_GB2312" w:hAnsi="宋体" w:cs="宋体"/>
          <w:kern w:val="0"/>
          <w:szCs w:val="32"/>
          <w:u w:val="none"/>
          <w:lang w:val="en-US"/>
        </w:rPr>
      </w:pPr>
      <w:r>
        <w:rPr>
          <w:rFonts w:hint="eastAsia" w:ascii="仿宋_GB2312" w:hAnsi="宋体" w:cs="宋体"/>
          <w:kern w:val="0"/>
          <w:szCs w:val="32"/>
          <w:u w:val="none"/>
        </w:rPr>
        <w:t>农村处：联系电话 0591-</w:t>
      </w:r>
      <w:r>
        <w:rPr>
          <w:rFonts w:hint="eastAsia" w:ascii="仿宋_GB2312" w:hAnsi="宋体" w:cs="宋体"/>
          <w:kern w:val="0"/>
          <w:szCs w:val="32"/>
          <w:u w:val="none"/>
          <w:lang w:val="en-US" w:eastAsia="zh-CN"/>
        </w:rPr>
        <w:t>87866133 87882948</w:t>
      </w:r>
    </w:p>
    <w:p w14:paraId="68963548">
      <w:pPr>
        <w:keepNext w:val="0"/>
        <w:keepLines w:val="0"/>
        <w:pageBreakBefore w:val="0"/>
        <w:widowControl/>
        <w:kinsoku/>
        <w:overflowPunct/>
        <w:topLinePunct w:val="0"/>
        <w:autoSpaceDE/>
        <w:autoSpaceDN/>
        <w:bidi w:val="0"/>
        <w:spacing w:line="600" w:lineRule="exact"/>
        <w:ind w:firstLine="645"/>
        <w:textAlignment w:val="auto"/>
        <w:rPr>
          <w:rFonts w:hint="eastAsia" w:ascii="仿宋_GB2312" w:hAnsi="宋体" w:cs="宋体"/>
          <w:kern w:val="0"/>
          <w:szCs w:val="32"/>
          <w:u w:val="none"/>
          <w:lang w:val="en-US" w:eastAsia="zh-CN"/>
        </w:rPr>
      </w:pPr>
      <w:r>
        <w:rPr>
          <w:rFonts w:hint="eastAsia" w:ascii="仿宋_GB2312" w:hAnsi="宋体" w:cs="宋体"/>
          <w:kern w:val="0"/>
          <w:szCs w:val="32"/>
          <w:u w:val="none"/>
        </w:rPr>
        <w:t>社发处：联系电话 0591-</w:t>
      </w:r>
      <w:r>
        <w:rPr>
          <w:rFonts w:hint="eastAsia" w:ascii="仿宋_GB2312" w:hAnsi="宋体" w:cs="宋体"/>
          <w:kern w:val="0"/>
          <w:szCs w:val="32"/>
          <w:u w:val="none"/>
          <w:lang w:val="en-US" w:eastAsia="zh-CN"/>
        </w:rPr>
        <w:t>87881503 87912231</w:t>
      </w:r>
    </w:p>
    <w:p w14:paraId="2E73FBBF">
      <w:pPr>
        <w:keepNext w:val="0"/>
        <w:keepLines w:val="0"/>
        <w:pageBreakBefore w:val="0"/>
        <w:widowControl/>
        <w:kinsoku/>
        <w:overflowPunct/>
        <w:topLinePunct w:val="0"/>
        <w:autoSpaceDE/>
        <w:autoSpaceDN/>
        <w:bidi w:val="0"/>
        <w:spacing w:line="600" w:lineRule="exact"/>
        <w:ind w:firstLine="645"/>
        <w:textAlignment w:val="auto"/>
        <w:rPr>
          <w:rFonts w:hint="eastAsia" w:ascii="仿宋_GB2312" w:hAnsi="宋体" w:cs="宋体"/>
          <w:kern w:val="0"/>
          <w:szCs w:val="32"/>
          <w:u w:val="none"/>
          <w:lang w:val="en-US" w:eastAsia="zh-CN"/>
        </w:rPr>
      </w:pPr>
      <w:r>
        <w:rPr>
          <w:rFonts w:hint="eastAsia" w:ascii="仿宋_GB2312" w:hAnsi="宋体" w:cs="宋体"/>
          <w:kern w:val="0"/>
          <w:szCs w:val="32"/>
          <w:u w:val="none"/>
          <w:lang w:val="en-US" w:eastAsia="zh-CN"/>
        </w:rPr>
        <w:t>科技服务处：</w:t>
      </w:r>
      <w:r>
        <w:rPr>
          <w:rFonts w:hint="eastAsia" w:ascii="仿宋_GB2312" w:hAnsi="宋体" w:cs="宋体"/>
          <w:kern w:val="0"/>
          <w:szCs w:val="32"/>
          <w:u w:val="none"/>
        </w:rPr>
        <w:t>联系电话</w:t>
      </w:r>
      <w:r>
        <w:rPr>
          <w:rFonts w:hint="eastAsia" w:ascii="仿宋_GB2312" w:hAnsi="宋体" w:cs="宋体"/>
          <w:kern w:val="0"/>
          <w:szCs w:val="32"/>
          <w:u w:val="none"/>
          <w:lang w:val="en-US" w:eastAsia="zh-CN"/>
        </w:rPr>
        <w:t xml:space="preserve"> 0591-87271671</w:t>
      </w:r>
    </w:p>
    <w:p w14:paraId="0D6F33BE">
      <w:pPr>
        <w:keepNext w:val="0"/>
        <w:keepLines w:val="0"/>
        <w:pageBreakBefore w:val="0"/>
        <w:widowControl/>
        <w:kinsoku/>
        <w:overflowPunct/>
        <w:topLinePunct w:val="0"/>
        <w:autoSpaceDE/>
        <w:autoSpaceDN/>
        <w:bidi w:val="0"/>
        <w:spacing w:line="600" w:lineRule="exact"/>
        <w:ind w:firstLine="645"/>
        <w:textAlignment w:val="auto"/>
        <w:rPr>
          <w:rFonts w:hint="eastAsia" w:ascii="仿宋_GB2312" w:hAnsi="宋体" w:cs="宋体"/>
          <w:kern w:val="0"/>
          <w:szCs w:val="32"/>
          <w:u w:val="none"/>
          <w:lang w:val="en-US" w:eastAsia="zh-CN"/>
        </w:rPr>
      </w:pPr>
      <w:r>
        <w:rPr>
          <w:rFonts w:hint="eastAsia" w:ascii="仿宋_GB2312" w:hAnsi="宋体" w:cs="宋体"/>
          <w:kern w:val="0"/>
          <w:szCs w:val="32"/>
          <w:u w:val="none"/>
          <w:lang w:eastAsia="zh-CN"/>
        </w:rPr>
        <w:t>平台</w:t>
      </w:r>
      <w:r>
        <w:rPr>
          <w:rFonts w:hint="eastAsia" w:ascii="仿宋_GB2312" w:hAnsi="宋体" w:cs="宋体"/>
          <w:kern w:val="0"/>
          <w:szCs w:val="32"/>
          <w:u w:val="none"/>
        </w:rPr>
        <w:t>处：联系电话 0591-</w:t>
      </w:r>
      <w:r>
        <w:rPr>
          <w:rFonts w:hint="eastAsia" w:ascii="仿宋_GB2312" w:hAnsi="宋体" w:cs="宋体"/>
          <w:kern w:val="0"/>
          <w:szCs w:val="32"/>
          <w:u w:val="none"/>
          <w:lang w:val="en-US" w:eastAsia="zh-CN"/>
        </w:rPr>
        <w:t>87863003</w:t>
      </w:r>
    </w:p>
    <w:p w14:paraId="4361F1DD">
      <w:pPr>
        <w:keepNext w:val="0"/>
        <w:keepLines w:val="0"/>
        <w:pageBreakBefore w:val="0"/>
        <w:widowControl/>
        <w:kinsoku/>
        <w:overflowPunct/>
        <w:topLinePunct w:val="0"/>
        <w:autoSpaceDE/>
        <w:autoSpaceDN/>
        <w:bidi w:val="0"/>
        <w:spacing w:line="600" w:lineRule="exact"/>
        <w:ind w:firstLine="645"/>
        <w:textAlignment w:val="auto"/>
        <w:rPr>
          <w:rFonts w:hint="eastAsia" w:ascii="仿宋_GB2312" w:hAnsi="仿宋_GB2312" w:cs="仿宋_GB2312"/>
          <w:color w:val="auto"/>
          <w:kern w:val="0"/>
          <w:sz w:val="32"/>
          <w:szCs w:val="32"/>
          <w:highlight w:val="none"/>
          <w:u w:val="none"/>
          <w:lang w:val="en-US" w:eastAsia="zh-CN"/>
        </w:rPr>
      </w:pPr>
      <w:r>
        <w:rPr>
          <w:rFonts w:hint="eastAsia" w:ascii="仿宋_GB2312" w:hAnsi="仿宋_GB2312" w:cs="仿宋_GB2312"/>
          <w:color w:val="auto"/>
          <w:kern w:val="0"/>
          <w:sz w:val="32"/>
          <w:szCs w:val="32"/>
          <w:highlight w:val="none"/>
          <w:u w:val="none"/>
          <w:lang w:val="en" w:eastAsia="zh-CN"/>
        </w:rPr>
        <w:t>监督电话：</w:t>
      </w:r>
      <w:r>
        <w:rPr>
          <w:rFonts w:hint="eastAsia" w:ascii="仿宋_GB2312" w:hAnsi="仿宋_GB2312" w:cs="仿宋_GB2312"/>
          <w:color w:val="auto"/>
          <w:kern w:val="0"/>
          <w:sz w:val="32"/>
          <w:szCs w:val="32"/>
          <w:highlight w:val="none"/>
          <w:u w:val="none"/>
          <w:lang w:val="en-US" w:eastAsia="zh-CN"/>
        </w:rPr>
        <w:t xml:space="preserve"> 0591-87310957</w:t>
      </w:r>
    </w:p>
    <w:p w14:paraId="66CED190">
      <w:pPr>
        <w:keepNext w:val="0"/>
        <w:keepLines w:val="0"/>
        <w:pageBreakBefore w:val="0"/>
        <w:kinsoku/>
        <w:wordWrap/>
        <w:overflowPunct/>
        <w:topLinePunct w:val="0"/>
        <w:autoSpaceDE/>
        <w:autoSpaceDN/>
        <w:bidi w:val="0"/>
        <w:adjustRightInd w:val="0"/>
        <w:snapToGrid/>
        <w:spacing w:line="600" w:lineRule="exact"/>
        <w:ind w:right="0" w:rightChars="0" w:firstLine="674" w:firstLineChars="200"/>
        <w:jc w:val="left"/>
        <w:textAlignment w:val="auto"/>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000000"/>
          <w:sz w:val="32"/>
          <w:szCs w:val="32"/>
          <w:u w:val="none"/>
        </w:rPr>
        <w:t>在系统使用过程中，有任</w:t>
      </w:r>
      <w:r>
        <w:rPr>
          <w:rFonts w:hint="eastAsia" w:ascii="仿宋_GB2312" w:hAnsi="仿宋_GB2312" w:eastAsia="仿宋_GB2312" w:cs="仿宋_GB2312"/>
          <w:sz w:val="32"/>
          <w:szCs w:val="32"/>
          <w:u w:val="none"/>
        </w:rPr>
        <w:t>何系统异常或技术上的问题（包括单位注册、科技人员注册出现异常）</w:t>
      </w:r>
      <w:r>
        <w:rPr>
          <w:rFonts w:hint="eastAsia" w:ascii="仿宋_GB2312" w:hAnsi="仿宋_GB2312" w:eastAsia="仿宋_GB2312" w:cs="仿宋_GB2312"/>
          <w:color w:val="000000"/>
          <w:sz w:val="32"/>
          <w:szCs w:val="32"/>
          <w:u w:val="none"/>
        </w:rPr>
        <w:t>可与技术支持部门联系，联系电话：0591-87882011、0591-87862982。</w:t>
      </w:r>
    </w:p>
    <w:p w14:paraId="33D8F75E">
      <w:pPr>
        <w:keepNext w:val="0"/>
        <w:keepLines w:val="0"/>
        <w:pageBreakBefore w:val="0"/>
        <w:kinsoku/>
        <w:overflowPunct/>
        <w:topLinePunct w:val="0"/>
        <w:autoSpaceDE/>
        <w:autoSpaceDN/>
        <w:bidi w:val="0"/>
        <w:adjustRightInd w:val="0"/>
        <w:spacing w:line="600" w:lineRule="exact"/>
        <w:ind w:firstLine="674" w:firstLineChars="200"/>
        <w:jc w:val="left"/>
        <w:textAlignment w:val="auto"/>
        <w:rPr>
          <w:rFonts w:hint="eastAsia" w:ascii="仿宋_GB2312"/>
          <w:szCs w:val="32"/>
          <w:u w:val="none"/>
        </w:rPr>
      </w:pPr>
    </w:p>
    <w:p w14:paraId="1E0F6ED0">
      <w:pPr>
        <w:keepNext w:val="0"/>
        <w:keepLines w:val="0"/>
        <w:pageBreakBefore w:val="0"/>
        <w:kinsoku/>
        <w:overflowPunct/>
        <w:topLinePunct w:val="0"/>
        <w:autoSpaceDE/>
        <w:autoSpaceDN/>
        <w:bidi w:val="0"/>
        <w:adjustRightInd w:val="0"/>
        <w:spacing w:line="600" w:lineRule="exact"/>
        <w:ind w:firstLine="674" w:firstLineChars="200"/>
        <w:jc w:val="left"/>
        <w:textAlignment w:val="auto"/>
        <w:rPr>
          <w:rFonts w:hint="eastAsia" w:ascii="仿宋_GB2312"/>
          <w:szCs w:val="32"/>
          <w:u w:val="none"/>
        </w:rPr>
      </w:pPr>
      <w:r>
        <w:rPr>
          <w:rFonts w:hint="eastAsia" w:ascii="仿宋_GB2312"/>
          <w:szCs w:val="32"/>
          <w:u w:val="none"/>
        </w:rPr>
        <w:t>附件：</w:t>
      </w:r>
      <w:r>
        <w:rPr>
          <w:rFonts w:hint="eastAsia" w:ascii="仿宋_GB2312"/>
          <w:szCs w:val="32"/>
          <w:u w:val="none"/>
          <w:lang w:val="en-US" w:eastAsia="zh-CN"/>
        </w:rPr>
        <w:t>1.</w:t>
      </w:r>
      <w:r>
        <w:rPr>
          <w:rFonts w:hint="eastAsia" w:ascii="仿宋_GB2312"/>
          <w:szCs w:val="32"/>
          <w:u w:val="none"/>
        </w:rPr>
        <w:t>202</w:t>
      </w:r>
      <w:r>
        <w:rPr>
          <w:rFonts w:hint="eastAsia" w:ascii="仿宋_GB2312"/>
          <w:szCs w:val="32"/>
          <w:u w:val="none"/>
          <w:lang w:val="en-US" w:eastAsia="zh-CN"/>
        </w:rPr>
        <w:t>6</w:t>
      </w:r>
      <w:r>
        <w:rPr>
          <w:rFonts w:hint="eastAsia" w:ascii="仿宋_GB2312"/>
          <w:szCs w:val="32"/>
          <w:u w:val="none"/>
        </w:rPr>
        <w:t>年</w:t>
      </w:r>
      <w:r>
        <w:rPr>
          <w:rFonts w:hint="eastAsia" w:ascii="仿宋_GB2312"/>
          <w:szCs w:val="32"/>
          <w:u w:val="none"/>
          <w:lang w:eastAsia="zh-CN"/>
        </w:rPr>
        <w:t>度</w:t>
      </w:r>
      <w:r>
        <w:rPr>
          <w:rFonts w:hint="eastAsia" w:ascii="仿宋_GB2312"/>
          <w:szCs w:val="32"/>
          <w:u w:val="none"/>
        </w:rPr>
        <w:t>省“揭榜挂帅”</w:t>
      </w:r>
      <w:r>
        <w:rPr>
          <w:rFonts w:hint="eastAsia" w:ascii="仿宋_GB2312"/>
          <w:szCs w:val="32"/>
          <w:u w:val="none"/>
          <w:lang w:eastAsia="zh-CN"/>
        </w:rPr>
        <w:t>项目</w:t>
      </w:r>
      <w:r>
        <w:rPr>
          <w:rFonts w:hint="eastAsia" w:ascii="仿宋_GB2312"/>
          <w:szCs w:val="32"/>
          <w:u w:val="none"/>
        </w:rPr>
        <w:t>榜单</w:t>
      </w:r>
    </w:p>
    <w:p w14:paraId="24664140">
      <w:pPr>
        <w:keepNext w:val="0"/>
        <w:keepLines w:val="0"/>
        <w:pageBreakBefore w:val="0"/>
        <w:kinsoku/>
        <w:overflowPunct/>
        <w:topLinePunct w:val="0"/>
        <w:autoSpaceDE/>
        <w:autoSpaceDN/>
        <w:bidi w:val="0"/>
        <w:adjustRightInd w:val="0"/>
        <w:spacing w:line="600" w:lineRule="exact"/>
        <w:ind w:firstLine="1685" w:firstLineChars="500"/>
        <w:jc w:val="left"/>
        <w:textAlignment w:val="auto"/>
        <w:rPr>
          <w:rFonts w:hint="eastAsia" w:ascii="仿宋_GB2312" w:hAnsi="宋体" w:cs="宋体"/>
          <w:kern w:val="0"/>
          <w:szCs w:val="32"/>
          <w:u w:val="none"/>
        </w:rPr>
      </w:pPr>
      <w:r>
        <w:rPr>
          <w:rFonts w:hint="eastAsia" w:ascii="仿宋_GB2312"/>
          <w:szCs w:val="32"/>
          <w:u w:val="none"/>
          <w:lang w:val="en-US" w:eastAsia="zh-CN"/>
        </w:rPr>
        <w:t>2.</w:t>
      </w:r>
      <w:r>
        <w:rPr>
          <w:rFonts w:hint="eastAsia" w:ascii="仿宋_GB2312" w:hAnsi="宋体" w:cs="宋体"/>
          <w:kern w:val="0"/>
          <w:szCs w:val="32"/>
          <w:u w:val="none"/>
        </w:rPr>
        <w:t>202</w:t>
      </w:r>
      <w:r>
        <w:rPr>
          <w:rFonts w:hint="eastAsia" w:ascii="仿宋_GB2312" w:hAnsi="宋体" w:cs="宋体"/>
          <w:kern w:val="0"/>
          <w:szCs w:val="32"/>
          <w:u w:val="none"/>
          <w:lang w:val="en-US" w:eastAsia="zh-CN"/>
        </w:rPr>
        <w:t>6</w:t>
      </w:r>
      <w:r>
        <w:rPr>
          <w:rFonts w:hint="eastAsia" w:ascii="仿宋_GB2312" w:hAnsi="宋体" w:cs="宋体"/>
          <w:kern w:val="0"/>
          <w:szCs w:val="32"/>
          <w:u w:val="none"/>
        </w:rPr>
        <w:t>年</w:t>
      </w:r>
      <w:r>
        <w:rPr>
          <w:rFonts w:hint="eastAsia" w:ascii="仿宋_GB2312" w:hAnsi="宋体" w:cs="宋体"/>
          <w:kern w:val="0"/>
          <w:szCs w:val="32"/>
          <w:u w:val="none"/>
          <w:lang w:eastAsia="zh-CN"/>
        </w:rPr>
        <w:t>度</w:t>
      </w:r>
      <w:r>
        <w:rPr>
          <w:rFonts w:hint="eastAsia" w:ascii="仿宋_GB2312" w:hAnsi="宋体" w:cs="宋体"/>
          <w:kern w:val="0"/>
          <w:szCs w:val="32"/>
          <w:u w:val="none"/>
        </w:rPr>
        <w:t>省科技重大专项</w:t>
      </w:r>
      <w:r>
        <w:rPr>
          <w:rFonts w:hint="eastAsia" w:ascii="仿宋_GB2312" w:hAnsi="宋体" w:cs="宋体"/>
          <w:kern w:val="0"/>
          <w:szCs w:val="32"/>
          <w:u w:val="none"/>
          <w:lang w:eastAsia="zh-CN"/>
        </w:rPr>
        <w:t>项目</w:t>
      </w:r>
      <w:r>
        <w:rPr>
          <w:rFonts w:hint="eastAsia" w:ascii="仿宋_GB2312" w:hAnsi="宋体" w:cs="宋体"/>
          <w:kern w:val="0"/>
          <w:szCs w:val="32"/>
          <w:u w:val="none"/>
        </w:rPr>
        <w:t>申报选题表</w:t>
      </w:r>
    </w:p>
    <w:p w14:paraId="7F0DE5EE">
      <w:pPr>
        <w:pStyle w:val="8"/>
        <w:numPr>
          <w:ilvl w:val="0"/>
          <w:numId w:val="3"/>
        </w:numPr>
        <w:ind w:left="1689" w:leftChars="0" w:firstLine="0" w:firstLineChars="0"/>
        <w:rPr>
          <w:rFonts w:hint="eastAsia" w:ascii="仿宋_GB2312" w:cs="宋体"/>
          <w:kern w:val="0"/>
          <w:szCs w:val="32"/>
          <w:u w:val="none"/>
          <w:lang w:val="en-US" w:eastAsia="zh-CN"/>
        </w:rPr>
      </w:pPr>
      <w:r>
        <w:rPr>
          <w:rFonts w:hint="eastAsia" w:ascii="仿宋_GB2312" w:cs="宋体"/>
          <w:kern w:val="0"/>
          <w:szCs w:val="32"/>
          <w:u w:val="none"/>
          <w:lang w:val="en-US" w:eastAsia="zh-CN"/>
        </w:rPr>
        <w:t>省“揭榜挂帅（科技重大专项）”项目申报</w:t>
      </w:r>
    </w:p>
    <w:p w14:paraId="1A92085B">
      <w:pPr>
        <w:pStyle w:val="8"/>
        <w:numPr>
          <w:ilvl w:val="0"/>
          <w:numId w:val="0"/>
        </w:numPr>
        <w:ind w:firstLine="2022" w:firstLineChars="600"/>
        <w:rPr>
          <w:rFonts w:hint="default" w:eastAsia="仿宋_GB2312"/>
          <w:u w:val="none"/>
          <w:lang w:val="en-US" w:eastAsia="zh-CN"/>
        </w:rPr>
      </w:pPr>
      <w:r>
        <w:rPr>
          <w:rFonts w:hint="eastAsia" w:ascii="仿宋_GB2312" w:cs="宋体"/>
          <w:kern w:val="0"/>
          <w:szCs w:val="32"/>
          <w:u w:val="none"/>
          <w:lang w:val="en-US" w:eastAsia="zh-CN"/>
        </w:rPr>
        <w:t>承诺书</w:t>
      </w:r>
    </w:p>
    <w:p w14:paraId="5703A44C">
      <w:pPr>
        <w:keepNext w:val="0"/>
        <w:keepLines w:val="0"/>
        <w:pageBreakBefore w:val="0"/>
        <w:kinsoku/>
        <w:overflowPunct/>
        <w:topLinePunct w:val="0"/>
        <w:autoSpaceDE/>
        <w:autoSpaceDN/>
        <w:bidi w:val="0"/>
        <w:spacing w:line="600" w:lineRule="exact"/>
        <w:ind w:left="2864" w:leftChars="200" w:hanging="2190" w:hangingChars="650"/>
        <w:textAlignment w:val="auto"/>
        <w:rPr>
          <w:rFonts w:hint="eastAsia" w:ascii="仿宋_GB2312" w:cs="仿宋_GB2312"/>
          <w:szCs w:val="32"/>
          <w:u w:val="none"/>
        </w:rPr>
      </w:pPr>
    </w:p>
    <w:p w14:paraId="7C1C4C8C">
      <w:pPr>
        <w:keepNext w:val="0"/>
        <w:keepLines w:val="0"/>
        <w:pageBreakBefore w:val="0"/>
        <w:kinsoku/>
        <w:overflowPunct/>
        <w:topLinePunct w:val="0"/>
        <w:autoSpaceDE/>
        <w:autoSpaceDN/>
        <w:bidi w:val="0"/>
        <w:spacing w:line="600" w:lineRule="exact"/>
        <w:textAlignment w:val="auto"/>
        <w:rPr>
          <w:rFonts w:hint="eastAsia" w:ascii="仿宋_GB2312"/>
          <w:szCs w:val="32"/>
          <w:u w:val="none"/>
        </w:rPr>
      </w:pPr>
    </w:p>
    <w:p w14:paraId="6632369F">
      <w:pPr>
        <w:pStyle w:val="8"/>
        <w:rPr>
          <w:rFonts w:hint="eastAsia"/>
          <w:u w:val="none"/>
        </w:rPr>
      </w:pPr>
    </w:p>
    <w:p w14:paraId="464ABE67">
      <w:pPr>
        <w:keepNext w:val="0"/>
        <w:keepLines w:val="0"/>
        <w:pageBreakBefore w:val="0"/>
        <w:kinsoku/>
        <w:overflowPunct/>
        <w:topLinePunct w:val="0"/>
        <w:autoSpaceDE/>
        <w:autoSpaceDN/>
        <w:bidi w:val="0"/>
        <w:spacing w:line="600" w:lineRule="exact"/>
        <w:textAlignment w:val="auto"/>
        <w:rPr>
          <w:rFonts w:hint="eastAsia" w:ascii="仿宋_GB2312"/>
          <w:szCs w:val="32"/>
          <w:u w:val="none"/>
        </w:rPr>
      </w:pPr>
      <w:r>
        <w:rPr>
          <w:rFonts w:hint="eastAsia" w:ascii="仿宋_GB2312"/>
          <w:szCs w:val="32"/>
          <w:u w:val="none"/>
        </w:rPr>
        <w:t xml:space="preserve">    </w:t>
      </w:r>
      <w:r>
        <w:rPr>
          <w:rFonts w:ascii="仿宋_GB2312"/>
          <w:szCs w:val="32"/>
          <w:u w:val="none"/>
          <w:lang w:val="en"/>
        </w:rPr>
        <w:t xml:space="preserve">    </w:t>
      </w:r>
      <w:r>
        <w:rPr>
          <w:rFonts w:hint="eastAsia" w:ascii="仿宋_GB2312"/>
          <w:szCs w:val="32"/>
          <w:u w:val="none"/>
        </w:rPr>
        <w:t xml:space="preserve">                    福建省科学技术厅</w:t>
      </w:r>
    </w:p>
    <w:p w14:paraId="6249E04E">
      <w:pPr>
        <w:keepNext w:val="0"/>
        <w:keepLines w:val="0"/>
        <w:pageBreakBefore w:val="0"/>
        <w:kinsoku/>
        <w:overflowPunct/>
        <w:topLinePunct w:val="0"/>
        <w:autoSpaceDE/>
        <w:autoSpaceDN/>
        <w:bidi w:val="0"/>
        <w:spacing w:line="600" w:lineRule="exact"/>
        <w:textAlignment w:val="auto"/>
        <w:rPr>
          <w:rFonts w:hint="eastAsia" w:ascii="仿宋_GB2312"/>
          <w:szCs w:val="32"/>
          <w:u w:val="none"/>
        </w:rPr>
      </w:pPr>
      <w:r>
        <w:rPr>
          <w:rFonts w:hint="eastAsia" w:ascii="仿宋_GB2312"/>
          <w:szCs w:val="32"/>
          <w:u w:val="none"/>
        </w:rPr>
        <w:t xml:space="preserve">                            202</w:t>
      </w:r>
      <w:r>
        <w:rPr>
          <w:rFonts w:hint="eastAsia" w:ascii="仿宋_GB2312"/>
          <w:szCs w:val="32"/>
          <w:u w:val="none"/>
          <w:lang w:val="en-US" w:eastAsia="zh-CN"/>
        </w:rPr>
        <w:t>6</w:t>
      </w:r>
      <w:r>
        <w:rPr>
          <w:rFonts w:hint="eastAsia" w:ascii="仿宋_GB2312"/>
          <w:szCs w:val="32"/>
          <w:u w:val="none"/>
        </w:rPr>
        <w:t>年</w:t>
      </w:r>
      <w:r>
        <w:rPr>
          <w:rFonts w:hint="eastAsia" w:ascii="仿宋_GB2312"/>
          <w:szCs w:val="32"/>
          <w:u w:val="none"/>
          <w:lang w:val="en-US" w:eastAsia="zh-CN"/>
        </w:rPr>
        <w:t>11</w:t>
      </w:r>
      <w:r>
        <w:rPr>
          <w:rFonts w:hint="eastAsia" w:ascii="仿宋_GB2312"/>
          <w:szCs w:val="32"/>
          <w:u w:val="none"/>
        </w:rPr>
        <w:t>月</w:t>
      </w:r>
      <w:r>
        <w:rPr>
          <w:rFonts w:hint="eastAsia" w:ascii="仿宋_GB2312"/>
          <w:szCs w:val="32"/>
          <w:u w:val="none"/>
          <w:lang w:val="en-US" w:eastAsia="zh-CN"/>
        </w:rPr>
        <w:t>3</w:t>
      </w:r>
      <w:r>
        <w:rPr>
          <w:rFonts w:hint="eastAsia" w:ascii="仿宋_GB2312"/>
          <w:szCs w:val="32"/>
          <w:u w:val="none"/>
        </w:rPr>
        <w:t>日</w:t>
      </w:r>
    </w:p>
    <w:p w14:paraId="3A7B6C01">
      <w:pPr>
        <w:keepNext w:val="0"/>
        <w:keepLines w:val="0"/>
        <w:pageBreakBefore w:val="0"/>
        <w:kinsoku/>
        <w:overflowPunct/>
        <w:topLinePunct w:val="0"/>
        <w:autoSpaceDE/>
        <w:autoSpaceDN/>
        <w:bidi w:val="0"/>
        <w:spacing w:line="600" w:lineRule="exact"/>
        <w:textAlignment w:val="auto"/>
        <w:rPr>
          <w:u w:val="none"/>
        </w:rPr>
      </w:pPr>
      <w:r>
        <w:rPr>
          <w:rFonts w:hint="eastAsia" w:ascii="仿宋_GB2312"/>
          <w:szCs w:val="32"/>
          <w:u w:val="none"/>
        </w:rPr>
        <w:t xml:space="preserve">    （此件主动公开）</w:t>
      </w:r>
      <w:r>
        <w:rPr>
          <w:rFonts w:hint="eastAsia" w:ascii="方正黑体_GBK" w:hAnsi="方正黑体_GBK" w:eastAsia="方正黑体_GBK" w:cs="方正黑体_GBK"/>
          <w:szCs w:val="32"/>
          <w:u w:val="none"/>
        </w:rPr>
        <w:t xml:space="preserve"> </w:t>
      </w:r>
    </w:p>
    <w:p w14:paraId="3C03BA76">
      <w:pPr>
        <w:pStyle w:val="8"/>
        <w:rPr>
          <w:rFonts w:hint="eastAsia" w:ascii="黑体" w:hAnsi="黑体" w:eastAsia="黑体" w:cs="黑体"/>
          <w:u w:val="none"/>
          <w:lang w:val="en-US" w:eastAsia="zh-CN"/>
        </w:rPr>
      </w:pPr>
    </w:p>
    <w:p w14:paraId="41E1076C">
      <w:pPr>
        <w:pStyle w:val="8"/>
        <w:rPr>
          <w:rFonts w:hint="eastAsia" w:ascii="黑体" w:hAnsi="黑体" w:eastAsia="黑体" w:cs="黑体"/>
          <w:u w:val="none"/>
          <w:lang w:val="en-US" w:eastAsia="zh-CN"/>
        </w:rPr>
      </w:pPr>
      <w:r>
        <w:rPr>
          <w:rFonts w:hint="eastAsia" w:ascii="黑体" w:hAnsi="黑体" w:eastAsia="黑体" w:cs="黑体"/>
          <w:u w:val="none"/>
          <w:lang w:val="en-US" w:eastAsia="zh-CN"/>
        </w:rPr>
        <w:t>附件1</w:t>
      </w:r>
    </w:p>
    <w:p w14:paraId="1E76D88B">
      <w:pPr>
        <w:pStyle w:val="9"/>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sz w:val="32"/>
          <w:szCs w:val="32"/>
          <w:u w:val="none"/>
        </w:rPr>
      </w:pPr>
    </w:p>
    <w:p w14:paraId="53D7324E">
      <w:pPr>
        <w:pStyle w:val="9"/>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_GBK" w:hAnsi="方正小标宋_GBK" w:eastAsia="方正小标宋_GBK" w:cs="方正小标宋_GBK"/>
          <w:sz w:val="44"/>
          <w:szCs w:val="44"/>
          <w:u w:val="none"/>
        </w:rPr>
      </w:pPr>
      <w:r>
        <w:rPr>
          <w:rFonts w:hint="eastAsia" w:ascii="方正小标宋_GBK" w:hAnsi="方正小标宋_GBK" w:eastAsia="方正小标宋_GBK" w:cs="方正小标宋_GBK"/>
          <w:sz w:val="44"/>
          <w:szCs w:val="44"/>
          <w:u w:val="none"/>
        </w:rPr>
        <w:t>202</w:t>
      </w:r>
      <w:r>
        <w:rPr>
          <w:rFonts w:hint="eastAsia" w:ascii="方正小标宋_GBK" w:hAnsi="方正小标宋_GBK" w:eastAsia="方正小标宋_GBK" w:cs="方正小标宋_GBK"/>
          <w:sz w:val="44"/>
          <w:szCs w:val="44"/>
          <w:u w:val="none"/>
          <w:lang w:val="en-US" w:eastAsia="zh-CN"/>
        </w:rPr>
        <w:t>6</w:t>
      </w:r>
      <w:r>
        <w:rPr>
          <w:rFonts w:hint="eastAsia" w:ascii="方正小标宋_GBK" w:hAnsi="方正小标宋_GBK" w:eastAsia="方正小标宋_GBK" w:cs="方正小标宋_GBK"/>
          <w:sz w:val="44"/>
          <w:szCs w:val="44"/>
          <w:u w:val="none"/>
        </w:rPr>
        <w:t>年</w:t>
      </w:r>
      <w:r>
        <w:rPr>
          <w:rFonts w:hint="eastAsia" w:ascii="方正小标宋_GBK" w:hAnsi="方正小标宋_GBK" w:eastAsia="方正小标宋_GBK" w:cs="方正小标宋_GBK"/>
          <w:sz w:val="44"/>
          <w:szCs w:val="44"/>
          <w:u w:val="none"/>
          <w:lang w:eastAsia="zh-CN"/>
        </w:rPr>
        <w:t>度</w:t>
      </w:r>
      <w:r>
        <w:rPr>
          <w:rFonts w:hint="eastAsia" w:ascii="方正小标宋_GBK" w:hAnsi="方正小标宋_GBK" w:eastAsia="方正小标宋_GBK" w:cs="方正小标宋_GBK"/>
          <w:sz w:val="44"/>
          <w:szCs w:val="44"/>
          <w:u w:val="none"/>
        </w:rPr>
        <w:t>省“揭榜挂帅”</w:t>
      </w:r>
      <w:r>
        <w:rPr>
          <w:rFonts w:hint="eastAsia" w:ascii="方正小标宋_GBK" w:hAnsi="方正小标宋_GBK" w:eastAsia="方正小标宋_GBK" w:cs="方正小标宋_GBK"/>
          <w:sz w:val="44"/>
          <w:szCs w:val="44"/>
          <w:u w:val="none"/>
          <w:lang w:eastAsia="zh-CN"/>
        </w:rPr>
        <w:t>项目</w:t>
      </w:r>
      <w:r>
        <w:rPr>
          <w:rFonts w:hint="eastAsia" w:ascii="方正小标宋_GBK" w:hAnsi="方正小标宋_GBK" w:eastAsia="方正小标宋_GBK" w:cs="方正小标宋_GBK"/>
          <w:sz w:val="44"/>
          <w:szCs w:val="44"/>
          <w:u w:val="none"/>
        </w:rPr>
        <w:t>榜单</w:t>
      </w:r>
    </w:p>
    <w:p w14:paraId="56066814">
      <w:pPr>
        <w:keepNext w:val="0"/>
        <w:keepLines w:val="0"/>
        <w:pageBreakBefore w:val="0"/>
        <w:widowControl w:val="0"/>
        <w:kinsoku/>
        <w:wordWrap/>
        <w:overflowPunct/>
        <w:topLinePunct w:val="0"/>
        <w:autoSpaceDE/>
        <w:autoSpaceDN/>
        <w:bidi w:val="0"/>
        <w:adjustRightInd/>
        <w:snapToGrid/>
        <w:spacing w:line="600" w:lineRule="exact"/>
        <w:textAlignment w:val="auto"/>
        <w:rPr>
          <w:rFonts w:ascii="黑体" w:hAnsi="黑体" w:eastAsia="黑体" w:cs="黑体"/>
          <w:bCs/>
          <w:spacing w:val="6"/>
          <w:sz w:val="32"/>
          <w:szCs w:val="32"/>
          <w:u w:val="none"/>
        </w:rPr>
      </w:pPr>
      <w:r>
        <w:rPr>
          <w:rFonts w:hint="eastAsia" w:ascii="黑体" w:hAnsi="黑体" w:eastAsia="黑体" w:cs="黑体"/>
          <w:sz w:val="32"/>
          <w:szCs w:val="32"/>
          <w:u w:val="none"/>
        </w:rPr>
        <w:t>榜单一：面向高比例可再生能源的“风光氢储”多能互补微电网关键技术研究与示范（指南代码：</w:t>
      </w:r>
      <w:r>
        <w:rPr>
          <w:rFonts w:ascii="黑体" w:hAnsi="黑体" w:eastAsia="黑体" w:cs="黑体"/>
          <w:sz w:val="32"/>
          <w:szCs w:val="32"/>
          <w:u w:val="none"/>
        </w:rPr>
        <w:t>202</w:t>
      </w:r>
      <w:r>
        <w:rPr>
          <w:rFonts w:hint="eastAsia" w:ascii="黑体" w:hAnsi="黑体" w:eastAsia="黑体" w:cs="黑体"/>
          <w:sz w:val="32"/>
          <w:szCs w:val="32"/>
          <w:u w:val="none"/>
          <w:lang w:val="en-US" w:eastAsia="zh-CN"/>
        </w:rPr>
        <w:t>6</w:t>
      </w:r>
      <w:r>
        <w:rPr>
          <w:rFonts w:hint="eastAsia" w:ascii="黑体" w:hAnsi="黑体" w:eastAsia="黑体" w:cs="黑体"/>
          <w:szCs w:val="32"/>
          <w:u w:val="none"/>
          <w:lang w:val="en-US" w:eastAsia="zh-CN"/>
        </w:rPr>
        <w:t>HZ0121</w:t>
      </w:r>
      <w:r>
        <w:rPr>
          <w:rFonts w:hint="eastAsia" w:ascii="黑体" w:hAnsi="黑体" w:eastAsia="黑体" w:cs="黑体"/>
          <w:sz w:val="32"/>
          <w:szCs w:val="32"/>
          <w:u w:val="none"/>
        </w:rPr>
        <w:t>）</w:t>
      </w:r>
    </w:p>
    <w:tbl>
      <w:tblPr>
        <w:tblStyle w:val="12"/>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Layout w:type="fixed"/>
        <w:tblCellMar>
          <w:top w:w="57" w:type="dxa"/>
          <w:left w:w="57" w:type="dxa"/>
          <w:bottom w:w="57" w:type="dxa"/>
          <w:right w:w="57" w:type="dxa"/>
        </w:tblCellMar>
      </w:tblPr>
      <w:tblGrid>
        <w:gridCol w:w="1036"/>
        <w:gridCol w:w="596"/>
        <w:gridCol w:w="4210"/>
        <w:gridCol w:w="14"/>
        <w:gridCol w:w="2648"/>
        <w:gridCol w:w="30"/>
      </w:tblGrid>
      <w:tr w14:paraId="141D1B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gridAfter w:val="1"/>
          <w:wAfter w:w="30" w:type="dxa"/>
          <w:trHeight w:val="567" w:hRule="atLeast"/>
          <w:jc w:val="center"/>
        </w:trPr>
        <w:tc>
          <w:tcPr>
            <w:tcW w:w="1632" w:type="dxa"/>
            <w:gridSpan w:val="2"/>
            <w:shd w:val="clear" w:color="auto" w:fill="FFFFFF"/>
            <w:noWrap w:val="0"/>
            <w:vAlign w:val="center"/>
          </w:tcPr>
          <w:p w14:paraId="6534BB9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重大技术需求（难题）</w:t>
            </w:r>
          </w:p>
          <w:p w14:paraId="77777D2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题目</w:t>
            </w:r>
          </w:p>
        </w:tc>
        <w:tc>
          <w:tcPr>
            <w:tcW w:w="6872" w:type="dxa"/>
            <w:gridSpan w:val="3"/>
            <w:shd w:val="clear" w:color="auto" w:fill="FFFFFF"/>
            <w:noWrap w:val="0"/>
            <w:vAlign w:val="center"/>
          </w:tcPr>
          <w:p w14:paraId="2FF7BC7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面向高比例可再生能源的“风光氢储”多能互补微电网关键技术研究与示范</w:t>
            </w:r>
          </w:p>
        </w:tc>
      </w:tr>
      <w:tr w14:paraId="7F390F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gridAfter w:val="1"/>
          <w:wAfter w:w="30" w:type="dxa"/>
          <w:trHeight w:val="567" w:hRule="atLeast"/>
          <w:jc w:val="center"/>
        </w:trPr>
        <w:tc>
          <w:tcPr>
            <w:tcW w:w="1632" w:type="dxa"/>
            <w:gridSpan w:val="2"/>
            <w:shd w:val="clear" w:color="auto" w:fill="FFFFFF"/>
            <w:noWrap w:val="0"/>
            <w:vAlign w:val="center"/>
          </w:tcPr>
          <w:p w14:paraId="756B7D8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所属重大</w:t>
            </w:r>
          </w:p>
          <w:p w14:paraId="072AEF5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专项</w:t>
            </w:r>
          </w:p>
        </w:tc>
        <w:tc>
          <w:tcPr>
            <w:tcW w:w="6872" w:type="dxa"/>
            <w:gridSpan w:val="3"/>
            <w:shd w:val="clear" w:color="auto" w:fill="FFFFFF"/>
            <w:noWrap w:val="0"/>
            <w:vAlign w:val="center"/>
          </w:tcPr>
          <w:p w14:paraId="121BF4B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仿宋_GB2312" w:hAnsi="仿宋_GB2312" w:eastAsia="仿宋_GB2312" w:cs="仿宋_GB2312"/>
                <w:sz w:val="24"/>
                <w:szCs w:val="24"/>
                <w:u w:val="none"/>
                <w:lang w:val="en-US" w:eastAsia="zh-CN"/>
              </w:rPr>
            </w:pPr>
            <w:r>
              <w:rPr>
                <w:rFonts w:hint="eastAsia" w:ascii="仿宋_GB2312" w:hAnsi="仿宋_GB2312" w:cs="仿宋_GB2312"/>
                <w:sz w:val="24"/>
                <w:szCs w:val="24"/>
                <w:u w:val="none"/>
                <w:lang w:val="en-US" w:eastAsia="zh-CN"/>
              </w:rPr>
              <w:t>可再生能源</w:t>
            </w:r>
          </w:p>
        </w:tc>
      </w:tr>
      <w:tr w14:paraId="08E07F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gridAfter w:val="1"/>
          <w:wAfter w:w="30" w:type="dxa"/>
          <w:trHeight w:val="567" w:hRule="atLeast"/>
          <w:jc w:val="center"/>
        </w:trPr>
        <w:tc>
          <w:tcPr>
            <w:tcW w:w="1632" w:type="dxa"/>
            <w:gridSpan w:val="2"/>
            <w:shd w:val="clear" w:color="auto" w:fill="FFFFFF"/>
            <w:noWrap w:val="0"/>
            <w:vAlign w:val="center"/>
          </w:tcPr>
          <w:p w14:paraId="0845C3B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所属行业</w:t>
            </w:r>
          </w:p>
          <w:p w14:paraId="33622F8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领域</w:t>
            </w:r>
          </w:p>
        </w:tc>
        <w:tc>
          <w:tcPr>
            <w:tcW w:w="6872" w:type="dxa"/>
            <w:gridSpan w:val="3"/>
            <w:shd w:val="clear" w:color="auto" w:fill="FFFFFF"/>
            <w:noWrap w:val="0"/>
            <w:vAlign w:val="center"/>
          </w:tcPr>
          <w:p w14:paraId="0165BEC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新能源</w:t>
            </w:r>
          </w:p>
        </w:tc>
      </w:tr>
      <w:tr w14:paraId="1E25CA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gridAfter w:val="1"/>
          <w:wAfter w:w="30" w:type="dxa"/>
          <w:trHeight w:val="412" w:hRule="atLeast"/>
          <w:jc w:val="center"/>
        </w:trPr>
        <w:tc>
          <w:tcPr>
            <w:tcW w:w="1632" w:type="dxa"/>
            <w:gridSpan w:val="2"/>
            <w:shd w:val="clear" w:color="auto" w:fill="FFFFFF"/>
            <w:noWrap w:val="0"/>
            <w:vAlign w:val="center"/>
          </w:tcPr>
          <w:p w14:paraId="69EA43B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技术难题</w:t>
            </w:r>
          </w:p>
          <w:p w14:paraId="181580C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性质</w:t>
            </w:r>
          </w:p>
        </w:tc>
        <w:tc>
          <w:tcPr>
            <w:tcW w:w="6872" w:type="dxa"/>
            <w:gridSpan w:val="3"/>
            <w:shd w:val="clear" w:color="auto" w:fill="FFFFFF"/>
            <w:noWrap w:val="0"/>
            <w:vAlign w:val="center"/>
          </w:tcPr>
          <w:p w14:paraId="5DD74DD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b w:val="0"/>
                <w:bCs w:val="0"/>
                <w:sz w:val="24"/>
                <w:szCs w:val="24"/>
                <w:u w:val="none"/>
              </w:rPr>
              <w:t>☑ 需要外部科研力量帮助解决</w:t>
            </w:r>
            <w:r>
              <w:rPr>
                <w:rFonts w:hint="eastAsia" w:ascii="仿宋_GB2312" w:hAnsi="仿宋_GB2312" w:eastAsia="仿宋_GB2312" w:cs="仿宋_GB2312"/>
                <w:sz w:val="24"/>
                <w:szCs w:val="24"/>
                <w:u w:val="none"/>
              </w:rPr>
              <w:t xml:space="preserve"> □ 企业依靠自身力量能解决 </w:t>
            </w:r>
          </w:p>
        </w:tc>
      </w:tr>
      <w:tr w14:paraId="44BBA3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gridAfter w:val="1"/>
          <w:wAfter w:w="30" w:type="dxa"/>
          <w:trHeight w:val="439" w:hRule="atLeast"/>
          <w:jc w:val="center"/>
        </w:trPr>
        <w:tc>
          <w:tcPr>
            <w:tcW w:w="8504" w:type="dxa"/>
            <w:gridSpan w:val="5"/>
            <w:shd w:val="clear" w:color="auto" w:fill="FFFFFF"/>
            <w:noWrap w:val="0"/>
            <w:vAlign w:val="center"/>
          </w:tcPr>
          <w:p w14:paraId="10CDB1D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sz w:val="24"/>
                <w:szCs w:val="24"/>
                <w:u w:val="none"/>
              </w:rPr>
            </w:pPr>
            <w:r>
              <w:rPr>
                <w:rFonts w:hint="eastAsia" w:ascii="仿宋_GB2312" w:hAnsi="仿宋_GB2312" w:eastAsia="仿宋_GB2312" w:cs="仿宋_GB2312"/>
                <w:b/>
                <w:sz w:val="24"/>
                <w:szCs w:val="24"/>
                <w:u w:val="none"/>
              </w:rPr>
              <w:t>揭榜方须完成或满足的内容</w:t>
            </w:r>
          </w:p>
        </w:tc>
      </w:tr>
      <w:tr w14:paraId="1D6A69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gridAfter w:val="1"/>
          <w:wAfter w:w="30" w:type="dxa"/>
          <w:trHeight w:val="817" w:hRule="atLeast"/>
          <w:jc w:val="center"/>
        </w:trPr>
        <w:tc>
          <w:tcPr>
            <w:tcW w:w="1036" w:type="dxa"/>
            <w:shd w:val="clear" w:color="auto" w:fill="FFFFFF"/>
            <w:noWrap w:val="0"/>
            <w:vAlign w:val="center"/>
          </w:tcPr>
          <w:p w14:paraId="571E323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技术难题和攻关内容（</w:t>
            </w:r>
            <w:r>
              <w:rPr>
                <w:rFonts w:hint="eastAsia" w:ascii="仿宋_GB2312" w:hAnsi="仿宋_GB2312" w:eastAsia="仿宋_GB2312" w:cs="仿宋_GB2312"/>
                <w:spacing w:val="-11"/>
                <w:sz w:val="24"/>
                <w:szCs w:val="24"/>
                <w:u w:val="none"/>
              </w:rPr>
              <w:t>限500</w:t>
            </w:r>
          </w:p>
          <w:p w14:paraId="0ACE3C9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字以内）</w:t>
            </w:r>
          </w:p>
        </w:tc>
        <w:tc>
          <w:tcPr>
            <w:tcW w:w="7468" w:type="dxa"/>
            <w:gridSpan w:val="4"/>
            <w:shd w:val="clear" w:color="auto" w:fill="FFFFFF"/>
            <w:noWrap w:val="0"/>
            <w:vAlign w:val="top"/>
          </w:tcPr>
          <w:p w14:paraId="283AEB03">
            <w:pPr>
              <w:keepNext w:val="0"/>
              <w:keepLines w:val="0"/>
              <w:pageBreakBefore w:val="0"/>
              <w:widowControl w:val="0"/>
              <w:kinsoku/>
              <w:wordWrap/>
              <w:overflowPunct/>
              <w:topLinePunct w:val="0"/>
              <w:autoSpaceDE/>
              <w:autoSpaceDN/>
              <w:bidi w:val="0"/>
              <w:adjustRightInd w:val="0"/>
              <w:snapToGrid w:val="0"/>
              <w:spacing w:line="500" w:lineRule="exact"/>
              <w:ind w:firstLine="514" w:firstLineChars="200"/>
              <w:jc w:val="left"/>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氢能是应对高比例可再生能源电网跨日跨周调节需求的重要手段。但其发展仍存在电解制氢设备对波动电力适应性差、经济性不足；燃料电池等氢发电装备热电协同弱、响应滞后；系统多时间尺度机理不清、协同调控与长时经济运行策略不成熟等难题。</w:t>
            </w:r>
          </w:p>
          <w:p w14:paraId="235F551D">
            <w:pPr>
              <w:keepNext w:val="0"/>
              <w:keepLines w:val="0"/>
              <w:pageBreakBefore w:val="0"/>
              <w:widowControl w:val="0"/>
              <w:kinsoku/>
              <w:wordWrap/>
              <w:overflowPunct/>
              <w:topLinePunct w:val="0"/>
              <w:autoSpaceDE/>
              <w:autoSpaceDN/>
              <w:bidi w:val="0"/>
              <w:adjustRightInd w:val="0"/>
              <w:snapToGrid w:val="0"/>
              <w:spacing w:line="500" w:lineRule="exact"/>
              <w:ind w:firstLine="514" w:firstLineChars="200"/>
              <w:jc w:val="left"/>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项目拟以高柔性、低成本“电-氢-电”转换设备研发为核心，以多层级智能协同控制为主线，形成高比例可再生能源微电网系统解决方案并开展示范应用。主要包括：1）研发低过电位高效稳定核心材料及高电密、低能耗电解堆，开发宽负荷、快响应电解制氢系统；2）构建基于氢-电转化的稳态发电与快速调节协同架构，突破氢-电转化装置余热高效利用、毫秒级功率调节与自适应切换技术，开发模块化高效氢电转换装置；3）建立电-氢-热多能动态耦合模型与分层协同控制体系，研究电化学储能与氢储能配合的分/时/多日/季节调节策略，提出风光氢储多能互补容量优化配置方法及与主网的交互策略；4）建设“风光氢储”多能互补微电网示范工程，验证离网/并网运行下的稳定性、消纳能力、综合能效与经济性。</w:t>
            </w:r>
          </w:p>
          <w:p w14:paraId="0450E03E">
            <w:pPr>
              <w:keepNext w:val="0"/>
              <w:keepLines w:val="0"/>
              <w:pageBreakBefore w:val="0"/>
              <w:widowControl w:val="0"/>
              <w:kinsoku/>
              <w:wordWrap/>
              <w:overflowPunct/>
              <w:topLinePunct w:val="0"/>
              <w:autoSpaceDE/>
              <w:autoSpaceDN/>
              <w:bidi w:val="0"/>
              <w:adjustRightInd w:val="0"/>
              <w:snapToGrid w:val="0"/>
              <w:spacing w:line="500" w:lineRule="exact"/>
              <w:ind w:firstLine="514" w:firstLineChars="200"/>
              <w:jc w:val="left"/>
              <w:textAlignment w:val="auto"/>
              <w:rPr>
                <w:rFonts w:hint="eastAsia" w:ascii="仿宋_GB2312" w:hAnsi="仿宋_GB2312" w:eastAsia="仿宋_GB2312" w:cs="仿宋_GB2312"/>
                <w:color w:val="FF0000"/>
                <w:sz w:val="24"/>
                <w:szCs w:val="24"/>
                <w:u w:val="none"/>
              </w:rPr>
            </w:pPr>
            <w:r>
              <w:rPr>
                <w:rFonts w:hint="eastAsia" w:ascii="仿宋_GB2312" w:hAnsi="仿宋_GB2312" w:eastAsia="仿宋_GB2312" w:cs="仿宋_GB2312"/>
                <w:sz w:val="24"/>
                <w:szCs w:val="24"/>
                <w:u w:val="none"/>
              </w:rPr>
              <w:t>成果可推广应用于工业微电网、海岛、园区和综合能源系统，在调峰调频、应急保供、备用电源和多能互补等方面发挥作用，形成可复制的电氢深度协同优化与调控方案。</w:t>
            </w:r>
          </w:p>
        </w:tc>
      </w:tr>
      <w:tr w14:paraId="399E69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gridAfter w:val="1"/>
          <w:wAfter w:w="30" w:type="dxa"/>
          <w:trHeight w:val="1322" w:hRule="atLeast"/>
          <w:jc w:val="center"/>
        </w:trPr>
        <w:tc>
          <w:tcPr>
            <w:tcW w:w="1036" w:type="dxa"/>
            <w:shd w:val="clear" w:color="auto" w:fill="FFFFFF"/>
            <w:noWrap w:val="0"/>
            <w:vAlign w:val="center"/>
          </w:tcPr>
          <w:p w14:paraId="1638387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技术攻关后希望达到的预期技术目标（限500字以内）</w:t>
            </w:r>
          </w:p>
        </w:tc>
        <w:tc>
          <w:tcPr>
            <w:tcW w:w="7468" w:type="dxa"/>
            <w:gridSpan w:val="4"/>
            <w:shd w:val="clear" w:color="auto" w:fill="FFFFFF"/>
            <w:noWrap w:val="0"/>
            <w:vAlign w:val="center"/>
          </w:tcPr>
          <w:p w14:paraId="5FC0449C">
            <w:pPr>
              <w:keepNext w:val="0"/>
              <w:keepLines w:val="0"/>
              <w:pageBreakBefore w:val="0"/>
              <w:widowControl w:val="0"/>
              <w:kinsoku/>
              <w:wordWrap/>
              <w:overflowPunct/>
              <w:topLinePunct w:val="0"/>
              <w:autoSpaceDE/>
              <w:autoSpaceDN/>
              <w:bidi w:val="0"/>
              <w:adjustRightInd w:val="0"/>
              <w:snapToGrid w:val="0"/>
              <w:spacing w:line="500" w:lineRule="exact"/>
              <w:ind w:firstLine="514" w:firstLineChars="200"/>
              <w:jc w:val="left"/>
              <w:textAlignment w:val="auto"/>
              <w:rPr>
                <w:rFonts w:hint="eastAsia" w:ascii="仿宋_GB2312" w:hAnsi="仿宋_GB2312" w:eastAsia="仿宋_GB2312" w:cs="仿宋_GB2312"/>
                <w:sz w:val="24"/>
                <w:szCs w:val="24"/>
                <w:u w:val="none"/>
              </w:rPr>
            </w:pPr>
            <w:r>
              <w:rPr>
                <w:rFonts w:hint="eastAsia" w:ascii="仿宋_GB2312" w:hAnsi="仿宋_GB2312" w:cs="仿宋_GB2312"/>
                <w:sz w:val="24"/>
                <w:szCs w:val="24"/>
                <w:u w:val="none"/>
                <w:lang w:eastAsia="zh-CN"/>
              </w:rPr>
              <w:t>一</w:t>
            </w:r>
            <w:r>
              <w:rPr>
                <w:rFonts w:hint="eastAsia" w:ascii="仿宋_GB2312" w:hAnsi="仿宋_GB2312" w:eastAsia="仿宋_GB2312" w:cs="仿宋_GB2312"/>
                <w:sz w:val="24"/>
                <w:szCs w:val="24"/>
                <w:u w:val="none"/>
              </w:rPr>
              <w:t>、技术指标</w:t>
            </w:r>
          </w:p>
          <w:p w14:paraId="7776464D">
            <w:pPr>
              <w:keepNext w:val="0"/>
              <w:keepLines w:val="0"/>
              <w:pageBreakBefore w:val="0"/>
              <w:widowControl w:val="0"/>
              <w:kinsoku/>
              <w:wordWrap/>
              <w:overflowPunct/>
              <w:topLinePunct w:val="0"/>
              <w:autoSpaceDE/>
              <w:autoSpaceDN/>
              <w:bidi w:val="0"/>
              <w:adjustRightInd w:val="0"/>
              <w:snapToGrid w:val="0"/>
              <w:spacing w:line="500" w:lineRule="exact"/>
              <w:ind w:firstLine="514" w:firstLineChars="200"/>
              <w:jc w:val="left"/>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1.电-氢转换装备技术：系统运行负荷范围5%-120%，额定工况直流能耗≤4.0kWh/Nm</w:t>
            </w:r>
            <w:r>
              <w:rPr>
                <w:rFonts w:hint="eastAsia" w:ascii="仿宋_GB2312" w:hAnsi="仿宋_GB2312" w:eastAsia="仿宋_GB2312" w:cs="仿宋_GB2312"/>
                <w:sz w:val="24"/>
                <w:szCs w:val="24"/>
                <w:u w:val="none"/>
                <w:vertAlign w:val="superscript"/>
              </w:rPr>
              <w:t>3</w:t>
            </w:r>
            <w:r>
              <w:rPr>
                <w:rFonts w:hint="eastAsia" w:ascii="仿宋_GB2312" w:hAnsi="仿宋_GB2312" w:eastAsia="仿宋_GB2312" w:cs="仿宋_GB2312"/>
                <w:sz w:val="24"/>
                <w:szCs w:val="24"/>
                <w:u w:val="none"/>
              </w:rPr>
              <w:t>，冷启动时间≤20min，升/降载速度≥10%In/s。</w:t>
            </w:r>
          </w:p>
          <w:p w14:paraId="3F2230D5">
            <w:pPr>
              <w:keepNext w:val="0"/>
              <w:keepLines w:val="0"/>
              <w:pageBreakBefore w:val="0"/>
              <w:widowControl w:val="0"/>
              <w:kinsoku/>
              <w:wordWrap/>
              <w:overflowPunct/>
              <w:topLinePunct w:val="0"/>
              <w:autoSpaceDE/>
              <w:autoSpaceDN/>
              <w:bidi w:val="0"/>
              <w:adjustRightInd w:val="0"/>
              <w:snapToGrid w:val="0"/>
              <w:spacing w:line="500" w:lineRule="exact"/>
              <w:ind w:firstLine="514" w:firstLineChars="200"/>
              <w:jc w:val="left"/>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2.氢-电转换装备技术：系统综合能量效率≥50%；运行负荷范围为10%–100%额定功率。</w:t>
            </w:r>
          </w:p>
          <w:p w14:paraId="50BC845B">
            <w:pPr>
              <w:keepNext w:val="0"/>
              <w:keepLines w:val="0"/>
              <w:pageBreakBefore w:val="0"/>
              <w:widowControl w:val="0"/>
              <w:kinsoku/>
              <w:wordWrap/>
              <w:overflowPunct/>
              <w:topLinePunct w:val="0"/>
              <w:autoSpaceDE/>
              <w:autoSpaceDN/>
              <w:bidi w:val="0"/>
              <w:adjustRightInd w:val="0"/>
              <w:snapToGrid w:val="0"/>
              <w:spacing w:line="500" w:lineRule="exact"/>
              <w:ind w:firstLine="514" w:firstLineChars="200"/>
              <w:jc w:val="left"/>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3.能量管理系统：开发一套</w:t>
            </w:r>
            <w:r>
              <w:rPr>
                <w:rFonts w:hint="eastAsia" w:ascii="仿宋_GB2312" w:hAnsi="仿宋_GB2312" w:eastAsia="仿宋_GB2312" w:cs="仿宋_GB2312"/>
                <w:sz w:val="24"/>
                <w:szCs w:val="24"/>
                <w:u w:val="none"/>
                <w:lang w:val="en-US" w:eastAsia="zh-CN"/>
              </w:rPr>
              <w:t>适应多种工况的</w:t>
            </w:r>
            <w:r>
              <w:rPr>
                <w:rFonts w:hint="eastAsia" w:ascii="仿宋_GB2312" w:hAnsi="仿宋_GB2312" w:eastAsia="仿宋_GB2312" w:cs="仿宋_GB2312"/>
                <w:sz w:val="24"/>
                <w:szCs w:val="24"/>
                <w:u w:val="none"/>
              </w:rPr>
              <w:t>电氢耦合微电网能量管理系统，并网工况下具备与电网灵活互动能力，响应电网调度指令误差≤2%，响应时间≤15秒；离网工况下实现母线电压偏差≤10%，频率偏差≤0.5Hz。</w:t>
            </w:r>
          </w:p>
          <w:p w14:paraId="761C4EA5">
            <w:pPr>
              <w:keepNext w:val="0"/>
              <w:keepLines w:val="0"/>
              <w:pageBreakBefore w:val="0"/>
              <w:widowControl w:val="0"/>
              <w:kinsoku/>
              <w:wordWrap/>
              <w:overflowPunct/>
              <w:topLinePunct w:val="0"/>
              <w:autoSpaceDE/>
              <w:autoSpaceDN/>
              <w:bidi w:val="0"/>
              <w:adjustRightInd w:val="0"/>
              <w:snapToGrid w:val="0"/>
              <w:spacing w:line="500" w:lineRule="exact"/>
              <w:ind w:firstLine="514" w:firstLineChars="200"/>
              <w:jc w:val="left"/>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4.应用示范：</w:t>
            </w:r>
            <w:r>
              <w:rPr>
                <w:rFonts w:hint="eastAsia" w:ascii="仿宋_GB2312" w:hAnsi="仿宋_GB2312" w:eastAsia="仿宋_GB2312" w:cs="仿宋_GB2312"/>
                <w:sz w:val="24"/>
                <w:szCs w:val="24"/>
                <w:u w:val="none"/>
                <w:lang w:val="en-US" w:eastAsia="zh-CN"/>
              </w:rPr>
              <w:t>编制储氢技术方案1份；</w:t>
            </w:r>
            <w:r>
              <w:rPr>
                <w:rFonts w:hint="eastAsia" w:ascii="仿宋_GB2312" w:hAnsi="仿宋_GB2312" w:eastAsia="仿宋_GB2312" w:cs="仿宋_GB2312"/>
                <w:sz w:val="24"/>
                <w:szCs w:val="24"/>
                <w:highlight w:val="none"/>
                <w:u w:val="none"/>
              </w:rPr>
              <w:t>验证</w:t>
            </w:r>
            <w:r>
              <w:rPr>
                <w:rFonts w:hint="eastAsia" w:ascii="仿宋_GB2312" w:hAnsi="仿宋_GB2312" w:eastAsia="仿宋_GB2312" w:cs="仿宋_GB2312"/>
                <w:sz w:val="24"/>
                <w:szCs w:val="24"/>
                <w:highlight w:val="none"/>
                <w:u w:val="none"/>
                <w:lang w:val="en-US" w:eastAsia="zh-CN"/>
              </w:rPr>
              <w:t>可再生</w:t>
            </w:r>
            <w:r>
              <w:rPr>
                <w:rFonts w:hint="eastAsia" w:ascii="仿宋_GB2312" w:hAnsi="仿宋_GB2312" w:eastAsia="仿宋_GB2312" w:cs="仿宋_GB2312"/>
                <w:sz w:val="24"/>
                <w:szCs w:val="24"/>
                <w:highlight w:val="none"/>
                <w:u w:val="none"/>
              </w:rPr>
              <w:t>能源发电模式2种、电解水制氢技术3种、</w:t>
            </w:r>
            <w:r>
              <w:rPr>
                <w:rFonts w:hint="eastAsia" w:ascii="仿宋_GB2312" w:hAnsi="仿宋_GB2312" w:eastAsia="仿宋_GB2312" w:cs="仿宋_GB2312"/>
                <w:sz w:val="24"/>
                <w:szCs w:val="24"/>
                <w:highlight w:val="none"/>
                <w:u w:val="none"/>
                <w:lang w:eastAsia="zh-CN"/>
              </w:rPr>
              <w:t>“</w:t>
            </w:r>
            <w:r>
              <w:rPr>
                <w:rFonts w:hint="eastAsia" w:ascii="仿宋_GB2312" w:hAnsi="仿宋_GB2312" w:eastAsia="仿宋_GB2312" w:cs="仿宋_GB2312"/>
                <w:sz w:val="24"/>
                <w:szCs w:val="24"/>
                <w:highlight w:val="none"/>
                <w:u w:val="none"/>
              </w:rPr>
              <w:t>氢</w:t>
            </w:r>
            <w:r>
              <w:rPr>
                <w:rFonts w:hint="eastAsia" w:ascii="仿宋_GB2312" w:hAnsi="仿宋_GB2312" w:eastAsia="仿宋_GB2312" w:cs="仿宋_GB2312"/>
                <w:sz w:val="24"/>
                <w:szCs w:val="24"/>
                <w:highlight w:val="none"/>
                <w:u w:val="none"/>
                <w:lang w:val="en-US" w:eastAsia="zh-CN"/>
              </w:rPr>
              <w:t>-</w:t>
            </w:r>
            <w:r>
              <w:rPr>
                <w:rFonts w:hint="eastAsia" w:ascii="仿宋_GB2312" w:hAnsi="仿宋_GB2312" w:eastAsia="仿宋_GB2312" w:cs="仿宋_GB2312"/>
                <w:sz w:val="24"/>
                <w:szCs w:val="24"/>
                <w:highlight w:val="none"/>
                <w:u w:val="none"/>
              </w:rPr>
              <w:t>电</w:t>
            </w:r>
            <w:r>
              <w:rPr>
                <w:rFonts w:hint="eastAsia" w:ascii="仿宋_GB2312" w:hAnsi="仿宋_GB2312" w:eastAsia="仿宋_GB2312" w:cs="仿宋_GB2312"/>
                <w:sz w:val="24"/>
                <w:szCs w:val="24"/>
                <w:highlight w:val="none"/>
                <w:u w:val="none"/>
                <w:lang w:eastAsia="zh-CN"/>
              </w:rPr>
              <w:t>”</w:t>
            </w:r>
            <w:r>
              <w:rPr>
                <w:rFonts w:hint="eastAsia" w:ascii="仿宋_GB2312" w:hAnsi="仿宋_GB2312" w:eastAsia="仿宋_GB2312" w:cs="仿宋_GB2312"/>
                <w:sz w:val="24"/>
                <w:szCs w:val="24"/>
                <w:highlight w:val="none"/>
                <w:u w:val="none"/>
              </w:rPr>
              <w:t>转换技术</w:t>
            </w:r>
            <w:r>
              <w:rPr>
                <w:rFonts w:hint="eastAsia" w:ascii="仿宋_GB2312" w:hAnsi="仿宋_GB2312" w:eastAsia="仿宋_GB2312" w:cs="仿宋_GB2312"/>
                <w:sz w:val="24"/>
                <w:szCs w:val="24"/>
                <w:highlight w:val="none"/>
                <w:u w:val="none"/>
                <w:lang w:val="en-US" w:eastAsia="zh-CN"/>
              </w:rPr>
              <w:t>2</w:t>
            </w:r>
            <w:r>
              <w:rPr>
                <w:rFonts w:hint="eastAsia" w:ascii="仿宋_GB2312" w:hAnsi="仿宋_GB2312" w:eastAsia="仿宋_GB2312" w:cs="仿宋_GB2312"/>
                <w:sz w:val="24"/>
                <w:szCs w:val="24"/>
                <w:highlight w:val="none"/>
                <w:u w:val="none"/>
              </w:rPr>
              <w:t>种，</w:t>
            </w:r>
            <w:r>
              <w:rPr>
                <w:rFonts w:hint="eastAsia" w:ascii="仿宋_GB2312" w:hAnsi="仿宋_GB2312" w:eastAsia="仿宋_GB2312" w:cs="仿宋_GB2312"/>
                <w:sz w:val="24"/>
                <w:szCs w:val="24"/>
                <w:u w:val="none"/>
              </w:rPr>
              <w:t>其中可再生能源总装机规模不小于20MW，电解水总试验装机规模不小于5MW、氢电转换装置总试验装机规模不小于500kW</w:t>
            </w:r>
            <w:r>
              <w:rPr>
                <w:rFonts w:hint="eastAsia" w:ascii="仿宋_GB2312" w:hAnsi="仿宋_GB2312" w:eastAsia="仿宋_GB2312" w:cs="仿宋_GB2312"/>
                <w:sz w:val="24"/>
                <w:szCs w:val="24"/>
                <w:u w:val="none"/>
                <w:lang w:eastAsia="zh-CN"/>
              </w:rPr>
              <w:t>；</w:t>
            </w:r>
            <w:r>
              <w:rPr>
                <w:rFonts w:hint="eastAsia" w:ascii="仿宋_GB2312" w:hAnsi="仿宋_GB2312" w:eastAsia="仿宋_GB2312" w:cs="仿宋_GB2312"/>
                <w:sz w:val="24"/>
                <w:szCs w:val="24"/>
                <w:u w:val="none"/>
              </w:rPr>
              <w:t>微电网清洁能源自给率达到90%以上，可靠运行时长≥1000h。</w:t>
            </w:r>
          </w:p>
          <w:p w14:paraId="19236801">
            <w:pPr>
              <w:keepNext w:val="0"/>
              <w:keepLines w:val="0"/>
              <w:pageBreakBefore w:val="0"/>
              <w:widowControl w:val="0"/>
              <w:kinsoku/>
              <w:wordWrap/>
              <w:overflowPunct/>
              <w:topLinePunct w:val="0"/>
              <w:autoSpaceDE/>
              <w:autoSpaceDN/>
              <w:bidi w:val="0"/>
              <w:adjustRightInd w:val="0"/>
              <w:snapToGrid w:val="0"/>
              <w:spacing w:line="500" w:lineRule="exact"/>
              <w:ind w:firstLine="514" w:firstLineChars="200"/>
              <w:jc w:val="left"/>
              <w:textAlignment w:val="auto"/>
              <w:rPr>
                <w:rFonts w:hint="eastAsia" w:ascii="仿宋_GB2312" w:hAnsi="仿宋_GB2312" w:eastAsia="仿宋_GB2312" w:cs="仿宋_GB2312"/>
                <w:sz w:val="24"/>
                <w:szCs w:val="24"/>
                <w:u w:val="none"/>
              </w:rPr>
            </w:pPr>
            <w:r>
              <w:rPr>
                <w:rFonts w:hint="eastAsia" w:ascii="仿宋_GB2312" w:hAnsi="仿宋_GB2312" w:cs="仿宋_GB2312"/>
                <w:sz w:val="24"/>
                <w:szCs w:val="24"/>
                <w:u w:val="none"/>
                <w:lang w:eastAsia="zh-CN"/>
              </w:rPr>
              <w:t>二</w:t>
            </w:r>
            <w:r>
              <w:rPr>
                <w:rFonts w:hint="eastAsia" w:ascii="仿宋_GB2312" w:hAnsi="仿宋_GB2312" w:eastAsia="仿宋_GB2312" w:cs="仿宋_GB2312"/>
                <w:sz w:val="24"/>
                <w:szCs w:val="24"/>
                <w:u w:val="none"/>
              </w:rPr>
              <w:t>、成果指标</w:t>
            </w:r>
          </w:p>
          <w:p w14:paraId="02BBFAF9">
            <w:pPr>
              <w:keepNext w:val="0"/>
              <w:keepLines w:val="0"/>
              <w:pageBreakBefore w:val="0"/>
              <w:widowControl w:val="0"/>
              <w:kinsoku/>
              <w:wordWrap/>
              <w:overflowPunct/>
              <w:topLinePunct w:val="0"/>
              <w:autoSpaceDE/>
              <w:autoSpaceDN/>
              <w:bidi w:val="0"/>
              <w:adjustRightInd w:val="0"/>
              <w:snapToGrid w:val="0"/>
              <w:spacing w:line="500" w:lineRule="exact"/>
              <w:ind w:firstLine="514" w:firstLineChars="200"/>
              <w:jc w:val="left"/>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1</w:t>
            </w:r>
            <w:r>
              <w:rPr>
                <w:rFonts w:hint="eastAsia" w:ascii="仿宋_GB2312" w:hAnsi="仿宋_GB2312" w:cs="仿宋_GB2312"/>
                <w:sz w:val="24"/>
                <w:szCs w:val="24"/>
                <w:u w:val="none"/>
                <w:lang w:eastAsia="zh-CN"/>
              </w:rPr>
              <w:t>.</w:t>
            </w:r>
            <w:r>
              <w:rPr>
                <w:rFonts w:hint="eastAsia" w:ascii="仿宋_GB2312" w:hAnsi="仿宋_GB2312" w:eastAsia="仿宋_GB2312" w:cs="仿宋_GB2312"/>
                <w:sz w:val="24"/>
                <w:szCs w:val="24"/>
                <w:u w:val="none"/>
              </w:rPr>
              <w:t>研发可再生能源电氢耦合系统容量规划配置软件1套。</w:t>
            </w:r>
          </w:p>
          <w:p w14:paraId="13C270D7">
            <w:pPr>
              <w:keepNext w:val="0"/>
              <w:keepLines w:val="0"/>
              <w:pageBreakBefore w:val="0"/>
              <w:widowControl w:val="0"/>
              <w:kinsoku/>
              <w:wordWrap/>
              <w:overflowPunct/>
              <w:topLinePunct w:val="0"/>
              <w:autoSpaceDE/>
              <w:autoSpaceDN/>
              <w:bidi w:val="0"/>
              <w:adjustRightInd w:val="0"/>
              <w:snapToGrid w:val="0"/>
              <w:spacing w:line="500" w:lineRule="exact"/>
              <w:ind w:firstLine="514" w:firstLineChars="200"/>
              <w:jc w:val="left"/>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2</w:t>
            </w:r>
            <w:r>
              <w:rPr>
                <w:rFonts w:hint="eastAsia" w:ascii="仿宋_GB2312" w:hAnsi="仿宋_GB2312" w:cs="仿宋_GB2312"/>
                <w:sz w:val="24"/>
                <w:szCs w:val="24"/>
                <w:u w:val="none"/>
                <w:lang w:eastAsia="zh-CN"/>
              </w:rPr>
              <w:t>.</w:t>
            </w:r>
            <w:r>
              <w:rPr>
                <w:rFonts w:hint="eastAsia" w:ascii="仿宋_GB2312" w:hAnsi="仿宋_GB2312" w:eastAsia="仿宋_GB2312" w:cs="仿宋_GB2312"/>
                <w:sz w:val="24"/>
                <w:szCs w:val="24"/>
                <w:u w:val="none"/>
              </w:rPr>
              <w:t>研发可再生能源电氢耦合系统多时间尺度仿真平台1套。</w:t>
            </w:r>
          </w:p>
          <w:p w14:paraId="1BFD042B">
            <w:pPr>
              <w:keepNext w:val="0"/>
              <w:keepLines w:val="0"/>
              <w:pageBreakBefore w:val="0"/>
              <w:widowControl w:val="0"/>
              <w:kinsoku/>
              <w:wordWrap/>
              <w:overflowPunct/>
              <w:topLinePunct w:val="0"/>
              <w:autoSpaceDE/>
              <w:autoSpaceDN/>
              <w:bidi w:val="0"/>
              <w:adjustRightInd w:val="0"/>
              <w:snapToGrid w:val="0"/>
              <w:spacing w:line="500" w:lineRule="exact"/>
              <w:ind w:firstLine="514" w:firstLineChars="200"/>
              <w:jc w:val="left"/>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3</w:t>
            </w:r>
            <w:r>
              <w:rPr>
                <w:rFonts w:hint="eastAsia" w:ascii="仿宋_GB2312" w:hAnsi="仿宋_GB2312" w:cs="仿宋_GB2312"/>
                <w:sz w:val="24"/>
                <w:szCs w:val="24"/>
                <w:u w:val="none"/>
                <w:lang w:eastAsia="zh-CN"/>
              </w:rPr>
              <w:t>.</w:t>
            </w:r>
            <w:r>
              <w:rPr>
                <w:rFonts w:hint="eastAsia" w:ascii="仿宋_GB2312" w:hAnsi="仿宋_GB2312" w:eastAsia="仿宋_GB2312" w:cs="仿宋_GB2312"/>
                <w:sz w:val="24"/>
                <w:szCs w:val="24"/>
                <w:u w:val="none"/>
              </w:rPr>
              <w:t>项目实施期间，申请专利与软著10项，发表核心期刊或EI检索论文5篇。</w:t>
            </w:r>
          </w:p>
          <w:p w14:paraId="1932CB9A">
            <w:pPr>
              <w:keepNext w:val="0"/>
              <w:keepLines w:val="0"/>
              <w:pageBreakBefore w:val="0"/>
              <w:widowControl w:val="0"/>
              <w:kinsoku/>
              <w:wordWrap/>
              <w:overflowPunct/>
              <w:topLinePunct w:val="0"/>
              <w:autoSpaceDE/>
              <w:autoSpaceDN/>
              <w:bidi w:val="0"/>
              <w:adjustRightInd w:val="0"/>
              <w:snapToGrid w:val="0"/>
              <w:spacing w:line="500" w:lineRule="exact"/>
              <w:ind w:firstLine="514" w:firstLineChars="200"/>
              <w:jc w:val="left"/>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lang w:val="en-US" w:eastAsia="zh-CN"/>
              </w:rPr>
              <w:t>4</w:t>
            </w:r>
            <w:r>
              <w:rPr>
                <w:rFonts w:hint="eastAsia" w:ascii="仿宋_GB2312" w:hAnsi="仿宋_GB2312" w:cs="仿宋_GB2312"/>
                <w:sz w:val="24"/>
                <w:szCs w:val="24"/>
                <w:u w:val="none"/>
                <w:lang w:val="en-US" w:eastAsia="zh-CN"/>
              </w:rPr>
              <w:t>.</w:t>
            </w:r>
            <w:r>
              <w:rPr>
                <w:rFonts w:hint="eastAsia" w:ascii="仿宋_GB2312" w:hAnsi="仿宋_GB2312" w:eastAsia="仿宋_GB2312" w:cs="仿宋_GB2312"/>
                <w:sz w:val="24"/>
                <w:szCs w:val="24"/>
                <w:u w:val="none"/>
                <w:lang w:val="en-US" w:eastAsia="zh-CN"/>
              </w:rPr>
              <w:t>项目</w:t>
            </w:r>
            <w:r>
              <w:rPr>
                <w:rFonts w:hint="eastAsia" w:ascii="仿宋_GB2312" w:hAnsi="仿宋_GB2312" w:eastAsia="仿宋_GB2312" w:cs="仿宋_GB2312"/>
                <w:sz w:val="24"/>
                <w:szCs w:val="24"/>
                <w:u w:val="none"/>
              </w:rPr>
              <w:t>实施期间，</w:t>
            </w:r>
            <w:r>
              <w:rPr>
                <w:rFonts w:hint="eastAsia" w:ascii="仿宋_GB2312" w:hAnsi="仿宋_GB2312" w:eastAsia="仿宋_GB2312" w:cs="仿宋_GB2312"/>
                <w:sz w:val="24"/>
                <w:szCs w:val="24"/>
                <w:u w:val="none"/>
                <w:lang w:val="en-US" w:eastAsia="zh-CN"/>
              </w:rPr>
              <w:t>制定标准2项</w:t>
            </w:r>
            <w:r>
              <w:rPr>
                <w:rFonts w:hint="eastAsia" w:ascii="仿宋_GB2312" w:hAnsi="仿宋_GB2312" w:eastAsia="仿宋_GB2312" w:cs="仿宋_GB2312"/>
                <w:sz w:val="24"/>
                <w:szCs w:val="24"/>
                <w:u w:val="none"/>
              </w:rPr>
              <w:t>。</w:t>
            </w:r>
          </w:p>
          <w:p w14:paraId="2B8AA106">
            <w:pPr>
              <w:keepNext w:val="0"/>
              <w:keepLines w:val="0"/>
              <w:pageBreakBefore w:val="0"/>
              <w:widowControl w:val="0"/>
              <w:kinsoku/>
              <w:wordWrap/>
              <w:overflowPunct/>
              <w:topLinePunct w:val="0"/>
              <w:autoSpaceDE/>
              <w:autoSpaceDN/>
              <w:bidi w:val="0"/>
              <w:adjustRightInd w:val="0"/>
              <w:snapToGrid w:val="0"/>
              <w:spacing w:line="500" w:lineRule="exact"/>
              <w:ind w:firstLine="514" w:firstLineChars="200"/>
              <w:jc w:val="left"/>
              <w:textAlignment w:val="auto"/>
              <w:rPr>
                <w:rFonts w:hint="eastAsia" w:ascii="仿宋_GB2312" w:hAnsi="仿宋_GB2312" w:eastAsia="仿宋_GB2312" w:cs="仿宋_GB2312"/>
                <w:sz w:val="24"/>
                <w:szCs w:val="24"/>
                <w:u w:val="none"/>
                <w:lang w:eastAsia="zh-CN"/>
              </w:rPr>
            </w:pPr>
            <w:r>
              <w:rPr>
                <w:rFonts w:hint="eastAsia" w:ascii="仿宋_GB2312" w:hAnsi="仿宋_GB2312" w:cs="仿宋_GB2312"/>
                <w:sz w:val="24"/>
                <w:szCs w:val="24"/>
                <w:u w:val="none"/>
                <w:lang w:eastAsia="zh-CN"/>
              </w:rPr>
              <w:t>三</w:t>
            </w:r>
            <w:r>
              <w:rPr>
                <w:rFonts w:hint="eastAsia" w:ascii="仿宋_GB2312" w:hAnsi="仿宋_GB2312" w:eastAsia="仿宋_GB2312" w:cs="仿宋_GB2312"/>
                <w:sz w:val="24"/>
                <w:szCs w:val="24"/>
                <w:u w:val="none"/>
                <w:lang w:eastAsia="zh-CN"/>
              </w:rPr>
              <w:t>、经济效益指标</w:t>
            </w:r>
          </w:p>
          <w:p w14:paraId="1335FBB8">
            <w:pPr>
              <w:keepNext w:val="0"/>
              <w:keepLines w:val="0"/>
              <w:pageBreakBefore w:val="0"/>
              <w:widowControl w:val="0"/>
              <w:kinsoku/>
              <w:wordWrap/>
              <w:overflowPunct/>
              <w:topLinePunct w:val="0"/>
              <w:autoSpaceDE/>
              <w:autoSpaceDN/>
              <w:bidi w:val="0"/>
              <w:adjustRightInd w:val="0"/>
              <w:snapToGrid w:val="0"/>
              <w:spacing w:line="500" w:lineRule="exact"/>
              <w:ind w:firstLine="514" w:firstLineChars="200"/>
              <w:jc w:val="left"/>
              <w:textAlignment w:val="auto"/>
              <w:rPr>
                <w:rFonts w:hint="eastAsia" w:ascii="仿宋_GB2312" w:hAnsi="仿宋_GB2312" w:eastAsia="仿宋_GB2312" w:cs="仿宋_GB2312"/>
                <w:sz w:val="24"/>
                <w:szCs w:val="24"/>
                <w:u w:val="none"/>
                <w:lang w:val="en-US" w:eastAsia="zh-CN"/>
              </w:rPr>
            </w:pPr>
            <w:r>
              <w:rPr>
                <w:rFonts w:hint="eastAsia" w:ascii="仿宋_GB2312" w:hAnsi="仿宋_GB2312" w:eastAsia="仿宋_GB2312" w:cs="仿宋_GB2312"/>
                <w:sz w:val="24"/>
                <w:szCs w:val="24"/>
                <w:u w:val="none"/>
                <w:lang w:eastAsia="zh-CN"/>
              </w:rPr>
              <w:t>新增产值</w:t>
            </w:r>
            <w:r>
              <w:rPr>
                <w:rFonts w:hint="eastAsia" w:ascii="仿宋_GB2312" w:hAnsi="仿宋_GB2312" w:eastAsia="仿宋_GB2312" w:cs="仿宋_GB2312"/>
                <w:sz w:val="24"/>
                <w:szCs w:val="24"/>
                <w:u w:val="none"/>
                <w:lang w:val="en-US" w:eastAsia="zh-CN"/>
              </w:rPr>
              <w:t>1000万元。</w:t>
            </w:r>
          </w:p>
        </w:tc>
      </w:tr>
      <w:tr w14:paraId="1A0160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gridAfter w:val="1"/>
          <w:wAfter w:w="30" w:type="dxa"/>
          <w:trHeight w:val="863" w:hRule="atLeast"/>
          <w:jc w:val="center"/>
        </w:trPr>
        <w:tc>
          <w:tcPr>
            <w:tcW w:w="1036" w:type="dxa"/>
            <w:shd w:val="clear" w:color="auto" w:fill="FFFFFF"/>
            <w:noWrap w:val="0"/>
            <w:vAlign w:val="center"/>
          </w:tcPr>
          <w:p w14:paraId="7942391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时限要求</w:t>
            </w:r>
          </w:p>
        </w:tc>
        <w:tc>
          <w:tcPr>
            <w:tcW w:w="7468" w:type="dxa"/>
            <w:gridSpan w:val="4"/>
            <w:shd w:val="clear" w:color="auto" w:fill="FFFFFF"/>
            <w:noWrap w:val="0"/>
            <w:vAlign w:val="center"/>
          </w:tcPr>
          <w:p w14:paraId="03069B7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2029年12月前完成</w:t>
            </w:r>
          </w:p>
        </w:tc>
      </w:tr>
      <w:tr w14:paraId="4DE36C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gridAfter w:val="1"/>
          <w:wAfter w:w="30" w:type="dxa"/>
          <w:trHeight w:val="412" w:hRule="atLeast"/>
          <w:jc w:val="center"/>
        </w:trPr>
        <w:tc>
          <w:tcPr>
            <w:tcW w:w="8504" w:type="dxa"/>
            <w:gridSpan w:val="5"/>
            <w:shd w:val="clear" w:color="auto" w:fill="FFFFFF"/>
            <w:noWrap w:val="0"/>
            <w:vAlign w:val="center"/>
          </w:tcPr>
          <w:p w14:paraId="49DED52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以下信息供揭榜方参考</w:t>
            </w:r>
          </w:p>
          <w:p w14:paraId="614E36C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（揭榜方与福建省技术需求企业联合申报项目，技术需求企业也可以是榜单之外的同行企业）</w:t>
            </w:r>
          </w:p>
        </w:tc>
      </w:tr>
      <w:tr w14:paraId="63D4C8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gridAfter w:val="1"/>
          <w:wAfter w:w="30" w:type="dxa"/>
          <w:trHeight w:val="412" w:hRule="atLeast"/>
          <w:jc w:val="center"/>
        </w:trPr>
        <w:tc>
          <w:tcPr>
            <w:tcW w:w="1632" w:type="dxa"/>
            <w:gridSpan w:val="2"/>
            <w:vMerge w:val="restart"/>
            <w:shd w:val="clear" w:color="auto" w:fill="FFFFFF"/>
            <w:noWrap w:val="0"/>
            <w:vAlign w:val="center"/>
          </w:tcPr>
          <w:p w14:paraId="5D1516D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技术需求牵头企业（非排他性，可以多个）</w:t>
            </w:r>
          </w:p>
        </w:tc>
        <w:tc>
          <w:tcPr>
            <w:tcW w:w="4210" w:type="dxa"/>
            <w:vMerge w:val="restart"/>
            <w:shd w:val="clear" w:color="auto" w:fill="FFFFFF"/>
            <w:noWrap w:val="0"/>
            <w:vAlign w:val="center"/>
          </w:tcPr>
          <w:p w14:paraId="4D3D942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国网福建省电力有限公司</w:t>
            </w:r>
          </w:p>
        </w:tc>
        <w:tc>
          <w:tcPr>
            <w:tcW w:w="2662" w:type="dxa"/>
            <w:gridSpan w:val="2"/>
            <w:shd w:val="clear" w:color="auto" w:fill="FFFFFF"/>
            <w:noWrap w:val="0"/>
            <w:vAlign w:val="center"/>
          </w:tcPr>
          <w:p w14:paraId="179D3A7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单位性质</w:t>
            </w:r>
          </w:p>
        </w:tc>
      </w:tr>
      <w:tr w14:paraId="49AF05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gridAfter w:val="1"/>
          <w:wAfter w:w="30" w:type="dxa"/>
          <w:trHeight w:val="412" w:hRule="atLeast"/>
          <w:jc w:val="center"/>
        </w:trPr>
        <w:tc>
          <w:tcPr>
            <w:tcW w:w="1632" w:type="dxa"/>
            <w:gridSpan w:val="2"/>
            <w:vMerge w:val="continue"/>
            <w:shd w:val="clear" w:color="auto" w:fill="FFFFFF"/>
            <w:noWrap w:val="0"/>
            <w:vAlign w:val="center"/>
          </w:tcPr>
          <w:p w14:paraId="6C9FA25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sz w:val="24"/>
                <w:szCs w:val="24"/>
                <w:u w:val="none"/>
              </w:rPr>
            </w:pPr>
          </w:p>
        </w:tc>
        <w:tc>
          <w:tcPr>
            <w:tcW w:w="4210" w:type="dxa"/>
            <w:vMerge w:val="continue"/>
            <w:shd w:val="clear" w:color="auto" w:fill="FFFFFF"/>
            <w:noWrap w:val="0"/>
            <w:vAlign w:val="center"/>
          </w:tcPr>
          <w:p w14:paraId="082BE81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sz w:val="24"/>
                <w:szCs w:val="24"/>
                <w:u w:val="none"/>
              </w:rPr>
            </w:pPr>
          </w:p>
        </w:tc>
        <w:tc>
          <w:tcPr>
            <w:tcW w:w="2662" w:type="dxa"/>
            <w:gridSpan w:val="2"/>
            <w:shd w:val="clear" w:color="auto" w:fill="FFFFFF"/>
            <w:noWrap w:val="0"/>
            <w:vAlign w:val="center"/>
          </w:tcPr>
          <w:p w14:paraId="66EB079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 xml:space="preserve">□龙头企业 </w:t>
            </w:r>
            <w:r>
              <w:rPr>
                <w:rFonts w:hint="eastAsia" w:ascii="仿宋_GB2312" w:hAnsi="仿宋_GB2312" w:eastAsia="仿宋_GB2312" w:cs="仿宋_GB2312"/>
                <w:sz w:val="24"/>
                <w:szCs w:val="24"/>
                <w:u w:val="none"/>
                <w:lang w:eastAsia="zh-CN"/>
              </w:rPr>
              <w:t>☑</w:t>
            </w:r>
            <w:r>
              <w:rPr>
                <w:rFonts w:hint="eastAsia" w:ascii="仿宋_GB2312" w:hAnsi="仿宋_GB2312" w:eastAsia="仿宋_GB2312" w:cs="仿宋_GB2312"/>
                <w:sz w:val="24"/>
                <w:szCs w:val="24"/>
                <w:u w:val="none"/>
              </w:rPr>
              <w:t>骨干企业（□高新技术企业、□科技型企业）</w:t>
            </w:r>
          </w:p>
        </w:tc>
      </w:tr>
      <w:tr w14:paraId="182D85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632" w:type="dxa"/>
            <w:gridSpan w:val="2"/>
            <w:shd w:val="clear" w:color="auto" w:fill="FFFFFF"/>
            <w:noWrap w:val="0"/>
            <w:vAlign w:val="center"/>
          </w:tcPr>
          <w:p w14:paraId="4F8E1CA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技术需求牵头企业联系方式</w:t>
            </w:r>
          </w:p>
        </w:tc>
        <w:tc>
          <w:tcPr>
            <w:tcW w:w="6902" w:type="dxa"/>
            <w:gridSpan w:val="4"/>
            <w:shd w:val="clear" w:color="auto" w:fill="FFFFFF"/>
            <w:noWrap w:val="0"/>
            <w:vAlign w:val="center"/>
          </w:tcPr>
          <w:p w14:paraId="26D6D5C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sz w:val="24"/>
                <w:szCs w:val="24"/>
                <w:u w:val="none"/>
                <w:lang w:val="en-US" w:eastAsia="zh-CN"/>
              </w:rPr>
            </w:pPr>
            <w:r>
              <w:rPr>
                <w:rFonts w:hint="eastAsia" w:ascii="仿宋_GB2312" w:hAnsi="仿宋_GB2312" w:eastAsia="仿宋_GB2312" w:cs="仿宋_GB2312"/>
                <w:sz w:val="24"/>
                <w:szCs w:val="24"/>
                <w:u w:val="none"/>
                <w:lang w:val="en-US" w:eastAsia="zh-CN"/>
              </w:rPr>
              <w:t>邹艺超，18292885367</w:t>
            </w:r>
          </w:p>
        </w:tc>
      </w:tr>
      <w:tr w14:paraId="5755AB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036" w:type="dxa"/>
            <w:vMerge w:val="restart"/>
            <w:shd w:val="clear" w:color="auto" w:fill="FFFFFF"/>
            <w:noWrap w:val="0"/>
            <w:vAlign w:val="center"/>
          </w:tcPr>
          <w:p w14:paraId="72ACC95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有共同技术需求的同行企业（非排他性）</w:t>
            </w:r>
          </w:p>
        </w:tc>
        <w:tc>
          <w:tcPr>
            <w:tcW w:w="596" w:type="dxa"/>
            <w:shd w:val="clear" w:color="auto" w:fill="FFFFFF"/>
            <w:noWrap w:val="0"/>
            <w:vAlign w:val="center"/>
          </w:tcPr>
          <w:p w14:paraId="5C7166C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序号</w:t>
            </w:r>
          </w:p>
        </w:tc>
        <w:tc>
          <w:tcPr>
            <w:tcW w:w="4224" w:type="dxa"/>
            <w:gridSpan w:val="2"/>
            <w:shd w:val="clear" w:color="auto" w:fill="FFFFFF"/>
            <w:noWrap w:val="0"/>
            <w:vAlign w:val="center"/>
          </w:tcPr>
          <w:p w14:paraId="1476A88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单位名称</w:t>
            </w:r>
          </w:p>
        </w:tc>
        <w:tc>
          <w:tcPr>
            <w:tcW w:w="2678" w:type="dxa"/>
            <w:gridSpan w:val="2"/>
            <w:shd w:val="clear" w:color="auto" w:fill="FFFFFF"/>
            <w:noWrap w:val="0"/>
            <w:vAlign w:val="center"/>
          </w:tcPr>
          <w:p w14:paraId="7400E53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单位性质</w:t>
            </w:r>
          </w:p>
        </w:tc>
      </w:tr>
      <w:tr w14:paraId="08EAED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036" w:type="dxa"/>
            <w:vMerge w:val="continue"/>
            <w:shd w:val="clear" w:color="auto" w:fill="FFFFFF"/>
            <w:noWrap w:val="0"/>
            <w:vAlign w:val="center"/>
          </w:tcPr>
          <w:p w14:paraId="638B730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sz w:val="24"/>
                <w:szCs w:val="24"/>
                <w:u w:val="none"/>
              </w:rPr>
            </w:pPr>
          </w:p>
        </w:tc>
        <w:tc>
          <w:tcPr>
            <w:tcW w:w="596" w:type="dxa"/>
            <w:shd w:val="clear" w:color="auto" w:fill="FFFFFF"/>
            <w:noWrap w:val="0"/>
            <w:vAlign w:val="center"/>
          </w:tcPr>
          <w:p w14:paraId="2540DF9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1</w:t>
            </w:r>
          </w:p>
        </w:tc>
        <w:tc>
          <w:tcPr>
            <w:tcW w:w="4224" w:type="dxa"/>
            <w:gridSpan w:val="2"/>
            <w:shd w:val="clear" w:color="auto" w:fill="FFFFFF"/>
            <w:noWrap w:val="0"/>
            <w:vAlign w:val="center"/>
          </w:tcPr>
          <w:p w14:paraId="1A19B3A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sz w:val="24"/>
                <w:szCs w:val="24"/>
                <w:u w:val="none"/>
                <w:lang w:val="en-US" w:eastAsia="zh-CN"/>
              </w:rPr>
            </w:pPr>
            <w:r>
              <w:rPr>
                <w:rFonts w:hint="eastAsia" w:ascii="仿宋_GB2312" w:hAnsi="仿宋_GB2312" w:eastAsia="仿宋_GB2312" w:cs="仿宋_GB2312"/>
                <w:sz w:val="24"/>
                <w:szCs w:val="24"/>
                <w:u w:val="none"/>
                <w:lang w:val="en-US" w:eastAsia="zh-CN"/>
              </w:rPr>
              <w:t>/</w:t>
            </w:r>
          </w:p>
        </w:tc>
        <w:tc>
          <w:tcPr>
            <w:tcW w:w="2678" w:type="dxa"/>
            <w:gridSpan w:val="2"/>
            <w:shd w:val="clear" w:color="auto" w:fill="FFFFFF"/>
            <w:noWrap w:val="0"/>
            <w:vAlign w:val="center"/>
          </w:tcPr>
          <w:p w14:paraId="4842A23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□龙头企业 □骨干企业 （□高新技术企业、□科技型企业）</w:t>
            </w:r>
          </w:p>
        </w:tc>
      </w:tr>
      <w:tr w14:paraId="53D226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036" w:type="dxa"/>
            <w:vMerge w:val="continue"/>
            <w:shd w:val="clear" w:color="auto" w:fill="FFFFFF"/>
            <w:noWrap w:val="0"/>
            <w:vAlign w:val="center"/>
          </w:tcPr>
          <w:p w14:paraId="3955930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sz w:val="24"/>
                <w:szCs w:val="24"/>
                <w:u w:val="none"/>
              </w:rPr>
            </w:pPr>
          </w:p>
        </w:tc>
        <w:tc>
          <w:tcPr>
            <w:tcW w:w="596" w:type="dxa"/>
            <w:shd w:val="clear" w:color="auto" w:fill="FFFFFF"/>
            <w:noWrap w:val="0"/>
            <w:vAlign w:val="center"/>
          </w:tcPr>
          <w:p w14:paraId="38AB1BB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2</w:t>
            </w:r>
          </w:p>
        </w:tc>
        <w:tc>
          <w:tcPr>
            <w:tcW w:w="4224" w:type="dxa"/>
            <w:gridSpan w:val="2"/>
            <w:shd w:val="clear" w:color="auto" w:fill="FFFFFF"/>
            <w:noWrap w:val="0"/>
            <w:vAlign w:val="center"/>
          </w:tcPr>
          <w:p w14:paraId="6C403BF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sz w:val="24"/>
                <w:szCs w:val="24"/>
                <w:u w:val="none"/>
                <w:lang w:val="en-US" w:eastAsia="zh-CN"/>
              </w:rPr>
            </w:pPr>
            <w:r>
              <w:rPr>
                <w:rFonts w:hint="eastAsia" w:ascii="仿宋_GB2312" w:hAnsi="仿宋_GB2312" w:eastAsia="仿宋_GB2312" w:cs="仿宋_GB2312"/>
                <w:sz w:val="24"/>
                <w:szCs w:val="24"/>
                <w:u w:val="none"/>
                <w:lang w:val="en-US" w:eastAsia="zh-CN"/>
              </w:rPr>
              <w:t>/</w:t>
            </w:r>
          </w:p>
        </w:tc>
        <w:tc>
          <w:tcPr>
            <w:tcW w:w="2678" w:type="dxa"/>
            <w:gridSpan w:val="2"/>
            <w:shd w:val="clear" w:color="auto" w:fill="FFFFFF"/>
            <w:noWrap w:val="0"/>
            <w:vAlign w:val="center"/>
          </w:tcPr>
          <w:p w14:paraId="621BED7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□龙头企业 □骨干企业 （□高新技术企业、□科技型企业）</w:t>
            </w:r>
          </w:p>
        </w:tc>
      </w:tr>
      <w:tr w14:paraId="3880DB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gridAfter w:val="1"/>
          <w:wAfter w:w="30" w:type="dxa"/>
          <w:trHeight w:val="1000" w:hRule="atLeast"/>
          <w:jc w:val="center"/>
        </w:trPr>
        <w:tc>
          <w:tcPr>
            <w:tcW w:w="1036" w:type="dxa"/>
            <w:shd w:val="clear" w:color="auto" w:fill="FFFFFF"/>
            <w:noWrap w:val="0"/>
            <w:vAlign w:val="center"/>
          </w:tcPr>
          <w:p w14:paraId="6EB0C24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研发资金投入预测</w:t>
            </w:r>
          </w:p>
        </w:tc>
        <w:tc>
          <w:tcPr>
            <w:tcW w:w="7468" w:type="dxa"/>
            <w:gridSpan w:val="4"/>
            <w:shd w:val="clear" w:color="auto" w:fill="FFFFFF"/>
            <w:noWrap w:val="0"/>
            <w:vAlign w:val="center"/>
          </w:tcPr>
          <w:p w14:paraId="0BD9F953">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（以揭榜方申报项目测算数据为准）</w:t>
            </w:r>
          </w:p>
          <w:p w14:paraId="6A6009E7">
            <w:pPr>
              <w:keepNext w:val="0"/>
              <w:keepLines w:val="0"/>
              <w:pageBreakBefore w:val="0"/>
              <w:widowControl w:val="0"/>
              <w:kinsoku/>
              <w:wordWrap/>
              <w:overflowPunct/>
              <w:topLinePunct w:val="0"/>
              <w:autoSpaceDE/>
              <w:autoSpaceDN/>
              <w:bidi w:val="0"/>
              <w:adjustRightInd w:val="0"/>
              <w:snapToGrid w:val="0"/>
              <w:spacing w:line="240" w:lineRule="auto"/>
              <w:ind w:firstLine="1028" w:firstLineChars="400"/>
              <w:jc w:val="left"/>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 xml:space="preserve">研发总预算初步预测：  </w:t>
            </w:r>
            <w:r>
              <w:rPr>
                <w:rFonts w:hint="eastAsia" w:ascii="仿宋_GB2312" w:hAnsi="仿宋_GB2312" w:eastAsia="仿宋_GB2312" w:cs="仿宋_GB2312"/>
                <w:sz w:val="24"/>
                <w:szCs w:val="24"/>
                <w:u w:val="none"/>
                <w:lang w:val="en-US" w:eastAsia="zh-CN"/>
              </w:rPr>
              <w:t>1500</w:t>
            </w:r>
            <w:r>
              <w:rPr>
                <w:rFonts w:hint="eastAsia" w:ascii="仿宋_GB2312" w:hAnsi="仿宋_GB2312" w:eastAsia="仿宋_GB2312" w:cs="仿宋_GB2312"/>
                <w:sz w:val="24"/>
                <w:szCs w:val="24"/>
                <w:u w:val="none"/>
              </w:rPr>
              <w:t xml:space="preserve">  万元</w:t>
            </w:r>
          </w:p>
        </w:tc>
      </w:tr>
      <w:tr w14:paraId="2C909A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gridAfter w:val="1"/>
          <w:wAfter w:w="30" w:type="dxa"/>
          <w:trHeight w:val="891" w:hRule="atLeast"/>
          <w:jc w:val="center"/>
        </w:trPr>
        <w:tc>
          <w:tcPr>
            <w:tcW w:w="1036" w:type="dxa"/>
            <w:shd w:val="clear" w:color="auto" w:fill="FFFFFF"/>
            <w:noWrap w:val="0"/>
            <w:vAlign w:val="center"/>
          </w:tcPr>
          <w:p w14:paraId="591D541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申请财政资金</w:t>
            </w:r>
          </w:p>
        </w:tc>
        <w:tc>
          <w:tcPr>
            <w:tcW w:w="7468" w:type="dxa"/>
            <w:gridSpan w:val="4"/>
            <w:shd w:val="clear" w:color="auto" w:fill="FFFFFF"/>
            <w:noWrap w:val="0"/>
            <w:vAlign w:val="center"/>
          </w:tcPr>
          <w:p w14:paraId="37EC5A64">
            <w:pPr>
              <w:keepNext w:val="0"/>
              <w:keepLines w:val="0"/>
              <w:pageBreakBefore w:val="0"/>
              <w:widowControl w:val="0"/>
              <w:kinsoku/>
              <w:wordWrap/>
              <w:overflowPunct/>
              <w:topLinePunct w:val="0"/>
              <w:autoSpaceDE/>
              <w:autoSpaceDN/>
              <w:bidi w:val="0"/>
              <w:adjustRightInd w:val="0"/>
              <w:snapToGrid w:val="0"/>
              <w:spacing w:line="500" w:lineRule="exact"/>
              <w:jc w:val="left"/>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（不超过</w:t>
            </w:r>
            <w:r>
              <w:rPr>
                <w:rFonts w:hint="eastAsia" w:ascii="仿宋_GB2312" w:hAnsi="仿宋_GB2312" w:cs="仿宋_GB2312"/>
                <w:sz w:val="24"/>
                <w:szCs w:val="24"/>
                <w:u w:val="none"/>
                <w:lang w:val="en-US" w:eastAsia="zh-CN"/>
              </w:rPr>
              <w:t>3</w:t>
            </w:r>
            <w:r>
              <w:rPr>
                <w:rFonts w:hint="eastAsia" w:ascii="仿宋_GB2312" w:hAnsi="仿宋_GB2312" w:eastAsia="仿宋_GB2312" w:cs="仿宋_GB2312"/>
                <w:sz w:val="24"/>
                <w:szCs w:val="24"/>
                <w:u w:val="none"/>
              </w:rPr>
              <w:t>00万元）</w:t>
            </w:r>
          </w:p>
          <w:p w14:paraId="51CD6A1A">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eastAsia" w:ascii="仿宋_GB2312" w:hAnsi="仿宋_GB2312" w:eastAsia="仿宋_GB2312" w:cs="仿宋_GB2312"/>
                <w:sz w:val="24"/>
                <w:szCs w:val="24"/>
                <w:u w:val="none"/>
              </w:rPr>
            </w:pPr>
          </w:p>
          <w:p w14:paraId="78CD7AD1">
            <w:pPr>
              <w:keepNext w:val="0"/>
              <w:keepLines w:val="0"/>
              <w:pageBreakBefore w:val="0"/>
              <w:widowControl w:val="0"/>
              <w:kinsoku/>
              <w:wordWrap/>
              <w:overflowPunct/>
              <w:topLinePunct w:val="0"/>
              <w:autoSpaceDE/>
              <w:autoSpaceDN/>
              <w:bidi w:val="0"/>
              <w:adjustRightInd w:val="0"/>
              <w:snapToGrid w:val="0"/>
              <w:spacing w:line="240" w:lineRule="auto"/>
              <w:ind w:firstLine="1028" w:firstLineChars="400"/>
              <w:jc w:val="left"/>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申请</w:t>
            </w:r>
            <w:r>
              <w:rPr>
                <w:rFonts w:hint="eastAsia" w:ascii="仿宋_GB2312" w:hAnsi="仿宋_GB2312" w:eastAsia="仿宋_GB2312" w:cs="仿宋_GB2312"/>
                <w:sz w:val="24"/>
                <w:szCs w:val="24"/>
                <w:u w:val="none"/>
                <w:lang w:eastAsia="zh-CN"/>
              </w:rPr>
              <w:t>省</w:t>
            </w:r>
            <w:r>
              <w:rPr>
                <w:rFonts w:hint="eastAsia" w:ascii="仿宋_GB2312" w:hAnsi="仿宋_GB2312" w:eastAsia="仿宋_GB2312" w:cs="仿宋_GB2312"/>
                <w:sz w:val="24"/>
                <w:szCs w:val="24"/>
                <w:u w:val="none"/>
              </w:rPr>
              <w:t xml:space="preserve">科技厅财政资金不超过： </w:t>
            </w:r>
            <w:r>
              <w:rPr>
                <w:rFonts w:hint="eastAsia" w:ascii="仿宋_GB2312" w:hAnsi="仿宋_GB2312" w:eastAsia="仿宋_GB2312" w:cs="仿宋_GB2312"/>
                <w:sz w:val="24"/>
                <w:szCs w:val="24"/>
                <w:u w:val="none"/>
                <w:lang w:val="en-US" w:eastAsia="zh-CN"/>
              </w:rPr>
              <w:t>300</w:t>
            </w:r>
            <w:r>
              <w:rPr>
                <w:rFonts w:hint="eastAsia" w:ascii="仿宋_GB2312" w:hAnsi="仿宋_GB2312" w:eastAsia="仿宋_GB2312" w:cs="仿宋_GB2312"/>
                <w:sz w:val="24"/>
                <w:szCs w:val="24"/>
                <w:u w:val="none"/>
              </w:rPr>
              <w:t xml:space="preserve"> 万元</w:t>
            </w:r>
          </w:p>
        </w:tc>
      </w:tr>
      <w:tr w14:paraId="39E04F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gridAfter w:val="1"/>
          <w:wAfter w:w="30" w:type="dxa"/>
          <w:trHeight w:val="1189" w:hRule="atLeast"/>
          <w:jc w:val="center"/>
        </w:trPr>
        <w:tc>
          <w:tcPr>
            <w:tcW w:w="1036" w:type="dxa"/>
            <w:shd w:val="clear" w:color="auto" w:fill="FFFFFF"/>
            <w:noWrap w:val="0"/>
            <w:vAlign w:val="center"/>
          </w:tcPr>
          <w:p w14:paraId="64C6F13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企业出资承诺</w:t>
            </w:r>
          </w:p>
        </w:tc>
        <w:tc>
          <w:tcPr>
            <w:tcW w:w="7468" w:type="dxa"/>
            <w:gridSpan w:val="4"/>
            <w:shd w:val="clear" w:color="auto" w:fill="FFFFFF"/>
            <w:noWrap w:val="0"/>
            <w:vAlign w:val="center"/>
          </w:tcPr>
          <w:p w14:paraId="458B41B5">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 xml:space="preserve">本企业愿意为该技术难题攻关提供研发资金不少于  </w:t>
            </w:r>
            <w:r>
              <w:rPr>
                <w:rFonts w:hint="eastAsia" w:ascii="仿宋_GB2312" w:hAnsi="仿宋_GB2312" w:eastAsia="仿宋_GB2312" w:cs="仿宋_GB2312"/>
                <w:sz w:val="24"/>
                <w:szCs w:val="24"/>
                <w:u w:val="none"/>
                <w:lang w:val="en-US" w:eastAsia="zh-CN"/>
              </w:rPr>
              <w:t>500</w:t>
            </w:r>
            <w:r>
              <w:rPr>
                <w:rFonts w:hint="eastAsia" w:ascii="仿宋_GB2312" w:hAnsi="仿宋_GB2312" w:eastAsia="仿宋_GB2312" w:cs="仿宋_GB2312"/>
                <w:sz w:val="24"/>
                <w:szCs w:val="24"/>
                <w:u w:val="none"/>
              </w:rPr>
              <w:t xml:space="preserve">  万元。</w:t>
            </w:r>
          </w:p>
          <w:p w14:paraId="136AEFFD">
            <w:pPr>
              <w:keepNext w:val="0"/>
              <w:keepLines w:val="0"/>
              <w:pageBreakBefore w:val="0"/>
              <w:widowControl w:val="0"/>
              <w:kinsoku/>
              <w:wordWrap/>
              <w:overflowPunct/>
              <w:topLinePunct w:val="0"/>
              <w:autoSpaceDE/>
              <w:autoSpaceDN/>
              <w:bidi w:val="0"/>
              <w:adjustRightInd w:val="0"/>
              <w:snapToGrid w:val="0"/>
              <w:spacing w:line="240" w:lineRule="auto"/>
              <w:ind w:firstLine="3523" w:firstLineChars="1371"/>
              <w:jc w:val="left"/>
              <w:textAlignment w:val="auto"/>
              <w:rPr>
                <w:rFonts w:hint="eastAsia" w:ascii="仿宋_GB2312" w:hAnsi="仿宋_GB2312" w:eastAsia="仿宋_GB2312" w:cs="仿宋_GB2312"/>
                <w:sz w:val="24"/>
                <w:szCs w:val="24"/>
                <w:u w:val="none"/>
              </w:rPr>
            </w:pPr>
          </w:p>
          <w:p w14:paraId="3CF2DA3A">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 xml:space="preserve">企业名称：  国网福建省电力有限公司    </w:t>
            </w:r>
          </w:p>
        </w:tc>
      </w:tr>
      <w:tr w14:paraId="694F47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gridAfter w:val="1"/>
          <w:wAfter w:w="30" w:type="dxa"/>
          <w:trHeight w:val="1900" w:hRule="atLeast"/>
          <w:jc w:val="center"/>
        </w:trPr>
        <w:tc>
          <w:tcPr>
            <w:tcW w:w="1036" w:type="dxa"/>
            <w:shd w:val="clear" w:color="auto" w:fill="FFFFFF"/>
            <w:noWrap w:val="0"/>
            <w:vAlign w:val="center"/>
          </w:tcPr>
          <w:p w14:paraId="58B4F39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企业期望产权归属（以双方实际签署合作协议为准）</w:t>
            </w:r>
          </w:p>
        </w:tc>
        <w:tc>
          <w:tcPr>
            <w:tcW w:w="7468" w:type="dxa"/>
            <w:gridSpan w:val="4"/>
            <w:shd w:val="clear" w:color="auto" w:fill="FFFFFF"/>
            <w:noWrap w:val="0"/>
            <w:vAlign w:val="center"/>
          </w:tcPr>
          <w:p w14:paraId="031E2BCB">
            <w:pPr>
              <w:keepNext w:val="0"/>
              <w:keepLines w:val="0"/>
              <w:pageBreakBefore w:val="0"/>
              <w:widowControl w:val="0"/>
              <w:kinsoku/>
              <w:wordWrap/>
              <w:overflowPunct/>
              <w:topLinePunct w:val="0"/>
              <w:autoSpaceDE/>
              <w:autoSpaceDN/>
              <w:bidi w:val="0"/>
              <w:adjustRightInd w:val="0"/>
              <w:snapToGrid w:val="0"/>
              <w:spacing w:line="500" w:lineRule="exact"/>
              <w:ind w:firstLine="514" w:firstLineChars="200"/>
              <w:jc w:val="left"/>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各方独立完成的研发成果及其知识产权归各自所有；合作共同研发所产生的知识产权由各方共同所有，具体权属和收益分配以各方实际签署的合作协议为准。未经各方一致书面同意，任何一方不得将核心知识产权擅自转让或许可给第三方。合作方须对知悉的他方技术秘密与商业秘密严格保密，不得向合作外的任何单位或个人泄露。</w:t>
            </w:r>
          </w:p>
        </w:tc>
      </w:tr>
      <w:tr w14:paraId="6B4275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gridAfter w:val="1"/>
          <w:wAfter w:w="30" w:type="dxa"/>
          <w:trHeight w:val="598" w:hRule="atLeast"/>
          <w:jc w:val="center"/>
        </w:trPr>
        <w:tc>
          <w:tcPr>
            <w:tcW w:w="1036" w:type="dxa"/>
            <w:shd w:val="clear" w:color="auto" w:fill="FFFFFF"/>
            <w:noWrap w:val="0"/>
            <w:vAlign w:val="center"/>
          </w:tcPr>
          <w:p w14:paraId="72F4EF4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企业承接转化后预期的经济、社会效益（限300字以内）</w:t>
            </w:r>
          </w:p>
        </w:tc>
        <w:tc>
          <w:tcPr>
            <w:tcW w:w="7468" w:type="dxa"/>
            <w:gridSpan w:val="4"/>
            <w:shd w:val="clear" w:color="auto" w:fill="FFFFFF"/>
            <w:noWrap w:val="0"/>
            <w:vAlign w:val="center"/>
          </w:tcPr>
          <w:p w14:paraId="494F0FA7">
            <w:pPr>
              <w:keepNext w:val="0"/>
              <w:keepLines w:val="0"/>
              <w:pageBreakBefore w:val="0"/>
              <w:widowControl w:val="0"/>
              <w:kinsoku/>
              <w:wordWrap/>
              <w:overflowPunct/>
              <w:topLinePunct w:val="0"/>
              <w:autoSpaceDE/>
              <w:autoSpaceDN/>
              <w:bidi w:val="0"/>
              <w:adjustRightInd w:val="0"/>
              <w:snapToGrid w:val="0"/>
              <w:spacing w:line="500" w:lineRule="exact"/>
              <w:ind w:firstLine="514" w:firstLineChars="200"/>
              <w:jc w:val="left"/>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b/>
                <w:bCs/>
                <w:sz w:val="24"/>
                <w:szCs w:val="24"/>
                <w:u w:val="none"/>
              </w:rPr>
              <w:t>经济效益方面，一是</w:t>
            </w:r>
            <w:r>
              <w:rPr>
                <w:rFonts w:hint="eastAsia" w:ascii="仿宋_GB2312" w:hAnsi="仿宋_GB2312" w:eastAsia="仿宋_GB2312" w:cs="仿宋_GB2312"/>
                <w:sz w:val="24"/>
                <w:szCs w:val="24"/>
                <w:u w:val="none"/>
              </w:rPr>
              <w:t>形成风光氢储多能互补微电网整体解决方案，加快技术产品转化，培育市场化盈利产品体系；</w:t>
            </w:r>
            <w:r>
              <w:rPr>
                <w:rFonts w:hint="eastAsia" w:ascii="仿宋_GB2312" w:hAnsi="仿宋_GB2312" w:eastAsia="仿宋_GB2312" w:cs="仿宋_GB2312"/>
                <w:b/>
                <w:bCs/>
                <w:sz w:val="24"/>
                <w:szCs w:val="24"/>
                <w:u w:val="none"/>
              </w:rPr>
              <w:t>二是</w:t>
            </w:r>
            <w:r>
              <w:rPr>
                <w:rFonts w:hint="eastAsia" w:ascii="仿宋_GB2312" w:hAnsi="仿宋_GB2312" w:eastAsia="仿宋_GB2312" w:cs="仿宋_GB2312"/>
                <w:sz w:val="24"/>
                <w:szCs w:val="24"/>
                <w:u w:val="none"/>
              </w:rPr>
              <w:t>通过电-氢转换设备对可再生能源和电网进行调峰，提升就地消纳水平，降低外送需求与备用电源投资；</w:t>
            </w:r>
            <w:r>
              <w:rPr>
                <w:rFonts w:hint="eastAsia" w:ascii="仿宋_GB2312" w:hAnsi="仿宋_GB2312" w:eastAsia="仿宋_GB2312" w:cs="仿宋_GB2312"/>
                <w:b/>
                <w:bCs/>
                <w:sz w:val="24"/>
                <w:szCs w:val="24"/>
                <w:u w:val="none"/>
              </w:rPr>
              <w:t>三是</w:t>
            </w:r>
            <w:r>
              <w:rPr>
                <w:rFonts w:hint="eastAsia" w:ascii="仿宋_GB2312" w:hAnsi="仿宋_GB2312" w:eastAsia="仿宋_GB2312" w:cs="仿宋_GB2312"/>
                <w:sz w:val="24"/>
                <w:szCs w:val="24"/>
                <w:u w:val="none"/>
              </w:rPr>
              <w:t>以绿电制氢降低用能成本，获取绿证、碳汇等环境权益，提升绿色竞争力。</w:t>
            </w:r>
          </w:p>
          <w:p w14:paraId="63CB67EB">
            <w:pPr>
              <w:keepNext w:val="0"/>
              <w:keepLines w:val="0"/>
              <w:pageBreakBefore w:val="0"/>
              <w:widowControl w:val="0"/>
              <w:kinsoku/>
              <w:wordWrap/>
              <w:overflowPunct/>
              <w:topLinePunct w:val="0"/>
              <w:autoSpaceDE/>
              <w:autoSpaceDN/>
              <w:bidi w:val="0"/>
              <w:adjustRightInd w:val="0"/>
              <w:snapToGrid w:val="0"/>
              <w:spacing w:line="500" w:lineRule="exact"/>
              <w:ind w:firstLine="514" w:firstLineChars="200"/>
              <w:jc w:val="left"/>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b/>
                <w:bCs/>
                <w:sz w:val="24"/>
                <w:szCs w:val="24"/>
                <w:u w:val="none"/>
              </w:rPr>
              <w:t>社会效益方面，一是</w:t>
            </w:r>
            <w:r>
              <w:rPr>
                <w:rFonts w:hint="eastAsia" w:ascii="仿宋_GB2312" w:hAnsi="仿宋_GB2312" w:eastAsia="仿宋_GB2312" w:cs="仿宋_GB2312"/>
                <w:sz w:val="24"/>
                <w:szCs w:val="24"/>
                <w:u w:val="none"/>
              </w:rPr>
              <w:t>在福建开展多能互补微电网场景示范，促进电-氢转换实际应用，增强高比例可再生能源微电网系统韧性与应急保障，为能源安全与民生福祉提供可推广的综合解决方案；</w:t>
            </w:r>
            <w:r>
              <w:rPr>
                <w:rFonts w:hint="eastAsia" w:ascii="仿宋_GB2312" w:hAnsi="仿宋_GB2312" w:eastAsia="仿宋_GB2312" w:cs="仿宋_GB2312"/>
                <w:b/>
                <w:bCs/>
                <w:sz w:val="24"/>
                <w:szCs w:val="24"/>
                <w:u w:val="none"/>
              </w:rPr>
              <w:t>二是</w:t>
            </w:r>
            <w:r>
              <w:rPr>
                <w:rFonts w:hint="eastAsia" w:ascii="仿宋_GB2312" w:hAnsi="仿宋_GB2312" w:eastAsia="仿宋_GB2312" w:cs="仿宋_GB2312"/>
                <w:sz w:val="24"/>
                <w:szCs w:val="24"/>
                <w:u w:val="none"/>
              </w:rPr>
              <w:t>推动绿氢制备高端装备制造、能源软件等战略性新兴产业发展，培育本地产业集群；</w:t>
            </w:r>
            <w:r>
              <w:rPr>
                <w:rFonts w:hint="eastAsia" w:ascii="仿宋_GB2312" w:hAnsi="仿宋_GB2312" w:eastAsia="仿宋_GB2312" w:cs="仿宋_GB2312"/>
                <w:b/>
                <w:bCs/>
                <w:sz w:val="24"/>
                <w:szCs w:val="24"/>
                <w:u w:val="none"/>
              </w:rPr>
              <w:t>三是</w:t>
            </w:r>
            <w:r>
              <w:rPr>
                <w:rFonts w:hint="eastAsia" w:ascii="仿宋_GB2312" w:hAnsi="仿宋_GB2312" w:eastAsia="仿宋_GB2312" w:cs="仿宋_GB2312"/>
                <w:sz w:val="24"/>
                <w:szCs w:val="24"/>
                <w:u w:val="none"/>
              </w:rPr>
              <w:t>推动绿氢在高耗能产业应用，促进深度脱碳，形成可推广的技术与商业范式，加速能源结构转型。</w:t>
            </w:r>
          </w:p>
        </w:tc>
      </w:tr>
    </w:tbl>
    <w:p w14:paraId="53473F5B">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sz w:val="32"/>
          <w:szCs w:val="32"/>
          <w:u w:val="none"/>
        </w:rPr>
        <w:sectPr>
          <w:headerReference r:id="rId4" w:type="first"/>
          <w:footerReference r:id="rId6" w:type="first"/>
          <w:headerReference r:id="rId3" w:type="default"/>
          <w:footerReference r:id="rId5" w:type="default"/>
          <w:pgSz w:w="11906" w:h="16838"/>
          <w:pgMar w:top="2098" w:right="1531" w:bottom="1984" w:left="1531" w:header="851" w:footer="1417" w:gutter="0"/>
          <w:pgNumType w:fmt="decimal"/>
          <w:cols w:space="0" w:num="1"/>
          <w:titlePg/>
          <w:docGrid w:type="linesAndChars" w:linePitch="579" w:charSpace="3686"/>
        </w:sectPr>
      </w:pPr>
    </w:p>
    <w:p w14:paraId="438A4F7F">
      <w:pPr>
        <w:keepNext w:val="0"/>
        <w:keepLines w:val="0"/>
        <w:pageBreakBefore w:val="0"/>
        <w:widowControl w:val="0"/>
        <w:kinsoku/>
        <w:wordWrap/>
        <w:overflowPunct/>
        <w:topLinePunct w:val="0"/>
        <w:autoSpaceDE/>
        <w:autoSpaceDN/>
        <w:bidi w:val="0"/>
        <w:adjustRightInd/>
        <w:snapToGrid/>
        <w:spacing w:line="600" w:lineRule="exact"/>
        <w:textAlignment w:val="auto"/>
        <w:rPr>
          <w:rFonts w:ascii="黑体" w:hAnsi="黑体" w:eastAsia="黑体" w:cs="黑体"/>
          <w:bCs/>
          <w:spacing w:val="6"/>
          <w:sz w:val="32"/>
          <w:szCs w:val="32"/>
          <w:u w:val="none"/>
        </w:rPr>
      </w:pPr>
      <w:r>
        <w:rPr>
          <w:rFonts w:hint="eastAsia" w:ascii="黑体" w:hAnsi="黑体" w:eastAsia="黑体" w:cs="黑体"/>
          <w:sz w:val="32"/>
          <w:szCs w:val="32"/>
          <w:u w:val="none"/>
        </w:rPr>
        <w:t>榜单</w:t>
      </w:r>
      <w:r>
        <w:rPr>
          <w:rFonts w:hint="eastAsia" w:ascii="黑体" w:hAnsi="黑体" w:eastAsia="黑体" w:cs="黑体"/>
          <w:sz w:val="32"/>
          <w:szCs w:val="32"/>
          <w:u w:val="none"/>
          <w:lang w:eastAsia="zh-CN"/>
        </w:rPr>
        <w:t>二</w:t>
      </w:r>
      <w:r>
        <w:rPr>
          <w:rFonts w:hint="eastAsia" w:ascii="黑体" w:hAnsi="黑体" w:eastAsia="黑体" w:cs="黑体"/>
          <w:sz w:val="32"/>
          <w:szCs w:val="32"/>
          <w:u w:val="none"/>
        </w:rPr>
        <w:t>：港口装备智能自主作业及复杂工况下安全控制关键技术研究与示范应用（指南代码：</w:t>
      </w:r>
      <w:r>
        <w:rPr>
          <w:rFonts w:ascii="黑体" w:hAnsi="黑体" w:eastAsia="黑体" w:cs="黑体"/>
          <w:sz w:val="32"/>
          <w:szCs w:val="32"/>
          <w:u w:val="none"/>
        </w:rPr>
        <w:t>202</w:t>
      </w:r>
      <w:r>
        <w:rPr>
          <w:rFonts w:hint="eastAsia" w:ascii="黑体" w:hAnsi="黑体" w:eastAsia="黑体" w:cs="黑体"/>
          <w:sz w:val="32"/>
          <w:szCs w:val="32"/>
          <w:u w:val="none"/>
          <w:lang w:val="en-US" w:eastAsia="zh-CN"/>
        </w:rPr>
        <w:t>6</w:t>
      </w:r>
      <w:r>
        <w:rPr>
          <w:rFonts w:hint="eastAsia" w:ascii="黑体" w:hAnsi="黑体" w:eastAsia="黑体" w:cs="黑体"/>
          <w:szCs w:val="32"/>
          <w:u w:val="none"/>
          <w:lang w:val="en-US" w:eastAsia="zh-CN"/>
        </w:rPr>
        <w:t>HZ0122</w:t>
      </w:r>
      <w:r>
        <w:rPr>
          <w:rFonts w:hint="eastAsia" w:ascii="黑体" w:hAnsi="黑体" w:eastAsia="黑体" w:cs="黑体"/>
          <w:sz w:val="32"/>
          <w:szCs w:val="32"/>
          <w:u w:val="none"/>
        </w:rPr>
        <w:t>）</w:t>
      </w:r>
    </w:p>
    <w:tbl>
      <w:tblPr>
        <w:tblStyle w:val="12"/>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Layout w:type="fixed"/>
        <w:tblCellMar>
          <w:top w:w="57" w:type="dxa"/>
          <w:left w:w="57" w:type="dxa"/>
          <w:bottom w:w="57" w:type="dxa"/>
          <w:right w:w="57" w:type="dxa"/>
        </w:tblCellMar>
      </w:tblPr>
      <w:tblGrid>
        <w:gridCol w:w="1036"/>
        <w:gridCol w:w="596"/>
        <w:gridCol w:w="4210"/>
        <w:gridCol w:w="14"/>
        <w:gridCol w:w="2648"/>
        <w:gridCol w:w="30"/>
      </w:tblGrid>
      <w:tr w14:paraId="6A870B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gridAfter w:val="1"/>
          <w:wAfter w:w="30" w:type="dxa"/>
          <w:trHeight w:val="567" w:hRule="atLeast"/>
          <w:jc w:val="center"/>
        </w:trPr>
        <w:tc>
          <w:tcPr>
            <w:tcW w:w="1632" w:type="dxa"/>
            <w:gridSpan w:val="2"/>
            <w:shd w:val="clear" w:color="auto" w:fill="FFFFFF"/>
            <w:noWrap w:val="0"/>
            <w:vAlign w:val="center"/>
          </w:tcPr>
          <w:p w14:paraId="5388CDBC">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重大技术需求（难题）</w:t>
            </w:r>
          </w:p>
          <w:p w14:paraId="4CDFDF69">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题目</w:t>
            </w:r>
          </w:p>
        </w:tc>
        <w:tc>
          <w:tcPr>
            <w:tcW w:w="6872" w:type="dxa"/>
            <w:gridSpan w:val="3"/>
            <w:shd w:val="clear" w:color="auto" w:fill="FFFFFF"/>
            <w:noWrap w:val="0"/>
            <w:vAlign w:val="center"/>
          </w:tcPr>
          <w:p w14:paraId="5B4AD2C6">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港口装备智能自主作业及复杂工况下安全控制关键技术研究与示范应用</w:t>
            </w:r>
          </w:p>
        </w:tc>
      </w:tr>
      <w:tr w14:paraId="1C0CDE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gridAfter w:val="1"/>
          <w:wAfter w:w="30" w:type="dxa"/>
          <w:trHeight w:val="567" w:hRule="atLeast"/>
          <w:jc w:val="center"/>
        </w:trPr>
        <w:tc>
          <w:tcPr>
            <w:tcW w:w="1632" w:type="dxa"/>
            <w:gridSpan w:val="2"/>
            <w:shd w:val="clear" w:color="auto" w:fill="FFFFFF"/>
            <w:noWrap w:val="0"/>
            <w:vAlign w:val="center"/>
          </w:tcPr>
          <w:p w14:paraId="15A3A8CC">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所属重大</w:t>
            </w:r>
          </w:p>
          <w:p w14:paraId="4C50B0F8">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专项</w:t>
            </w:r>
          </w:p>
        </w:tc>
        <w:tc>
          <w:tcPr>
            <w:tcW w:w="6872" w:type="dxa"/>
            <w:gridSpan w:val="3"/>
            <w:shd w:val="clear" w:color="auto" w:fill="FFFFFF"/>
            <w:noWrap w:val="0"/>
            <w:vAlign w:val="center"/>
          </w:tcPr>
          <w:p w14:paraId="55CDCA92">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hint="eastAsia" w:ascii="仿宋_GB2312" w:hAnsi="仿宋_GB2312" w:eastAsia="仿宋_GB2312" w:cs="仿宋_GB2312"/>
                <w:sz w:val="24"/>
                <w:szCs w:val="24"/>
                <w:u w:val="none"/>
                <w:lang w:eastAsia="zh-CN"/>
              </w:rPr>
            </w:pPr>
            <w:r>
              <w:rPr>
                <w:rFonts w:hint="eastAsia" w:ascii="仿宋_GB2312" w:hAnsi="仿宋_GB2312" w:cs="仿宋_GB2312"/>
                <w:sz w:val="24"/>
                <w:szCs w:val="24"/>
                <w:u w:val="none"/>
                <w:lang w:eastAsia="zh-CN"/>
              </w:rPr>
              <w:t>海洋信息技术与智慧系统</w:t>
            </w:r>
          </w:p>
        </w:tc>
      </w:tr>
      <w:tr w14:paraId="08D62D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gridAfter w:val="1"/>
          <w:wAfter w:w="30" w:type="dxa"/>
          <w:trHeight w:val="567" w:hRule="atLeast"/>
          <w:jc w:val="center"/>
        </w:trPr>
        <w:tc>
          <w:tcPr>
            <w:tcW w:w="1632" w:type="dxa"/>
            <w:gridSpan w:val="2"/>
            <w:shd w:val="clear" w:color="auto" w:fill="FFFFFF"/>
            <w:noWrap w:val="0"/>
            <w:vAlign w:val="center"/>
          </w:tcPr>
          <w:p w14:paraId="02150595">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所属行业</w:t>
            </w:r>
          </w:p>
          <w:p w14:paraId="455095D1">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领域</w:t>
            </w:r>
          </w:p>
        </w:tc>
        <w:tc>
          <w:tcPr>
            <w:tcW w:w="6872" w:type="dxa"/>
            <w:gridSpan w:val="3"/>
            <w:shd w:val="clear" w:color="auto" w:fill="FFFFFF"/>
            <w:noWrap w:val="0"/>
            <w:vAlign w:val="center"/>
          </w:tcPr>
          <w:p w14:paraId="6D1403F3">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海洋高新</w:t>
            </w:r>
          </w:p>
        </w:tc>
      </w:tr>
      <w:tr w14:paraId="245CDB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gridAfter w:val="1"/>
          <w:wAfter w:w="30" w:type="dxa"/>
          <w:trHeight w:val="412" w:hRule="atLeast"/>
          <w:jc w:val="center"/>
        </w:trPr>
        <w:tc>
          <w:tcPr>
            <w:tcW w:w="1632" w:type="dxa"/>
            <w:gridSpan w:val="2"/>
            <w:shd w:val="clear" w:color="auto" w:fill="FFFFFF"/>
            <w:noWrap w:val="0"/>
            <w:vAlign w:val="center"/>
          </w:tcPr>
          <w:p w14:paraId="6BBCEDA2">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技术难题</w:t>
            </w:r>
          </w:p>
          <w:p w14:paraId="3A8460A7">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性质</w:t>
            </w:r>
          </w:p>
        </w:tc>
        <w:tc>
          <w:tcPr>
            <w:tcW w:w="6872" w:type="dxa"/>
            <w:gridSpan w:val="3"/>
            <w:shd w:val="clear" w:color="auto" w:fill="FFFFFF"/>
            <w:noWrap w:val="0"/>
            <w:vAlign w:val="center"/>
          </w:tcPr>
          <w:p w14:paraId="25237AEF">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 xml:space="preserve">☑ 需要外部科研力量帮助解决 □ 企业依靠自身力量能解决 </w:t>
            </w:r>
          </w:p>
        </w:tc>
      </w:tr>
      <w:tr w14:paraId="16EEF3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gridAfter w:val="1"/>
          <w:wAfter w:w="30" w:type="dxa"/>
          <w:trHeight w:val="90" w:hRule="atLeast"/>
          <w:jc w:val="center"/>
        </w:trPr>
        <w:tc>
          <w:tcPr>
            <w:tcW w:w="8504" w:type="dxa"/>
            <w:gridSpan w:val="5"/>
            <w:shd w:val="clear" w:color="auto" w:fill="FFFFFF"/>
            <w:noWrap w:val="0"/>
            <w:vAlign w:val="center"/>
          </w:tcPr>
          <w:p w14:paraId="2402A80B">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hint="eastAsia" w:ascii="仿宋_GB2312" w:hAnsi="仿宋_GB2312" w:eastAsia="仿宋_GB2312" w:cs="仿宋_GB2312"/>
                <w:b/>
                <w:sz w:val="24"/>
                <w:szCs w:val="24"/>
                <w:u w:val="none"/>
              </w:rPr>
            </w:pPr>
            <w:r>
              <w:rPr>
                <w:rFonts w:hint="eastAsia" w:ascii="仿宋_GB2312" w:hAnsi="仿宋_GB2312" w:eastAsia="仿宋_GB2312" w:cs="仿宋_GB2312"/>
                <w:b/>
                <w:sz w:val="24"/>
                <w:szCs w:val="24"/>
                <w:u w:val="none"/>
              </w:rPr>
              <w:t>揭榜方须完成或满足的内容</w:t>
            </w:r>
          </w:p>
        </w:tc>
      </w:tr>
      <w:tr w14:paraId="66CB6D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gridAfter w:val="1"/>
          <w:wAfter w:w="30" w:type="dxa"/>
          <w:trHeight w:val="441" w:hRule="atLeast"/>
          <w:jc w:val="center"/>
        </w:trPr>
        <w:tc>
          <w:tcPr>
            <w:tcW w:w="1036" w:type="dxa"/>
            <w:shd w:val="clear" w:color="auto" w:fill="FFFFFF"/>
            <w:noWrap w:val="0"/>
            <w:vAlign w:val="center"/>
          </w:tcPr>
          <w:p w14:paraId="137A5437">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技术难题和攻关内容（</w:t>
            </w:r>
            <w:r>
              <w:rPr>
                <w:rFonts w:hint="eastAsia" w:ascii="仿宋_GB2312" w:hAnsi="仿宋_GB2312" w:eastAsia="仿宋_GB2312" w:cs="仿宋_GB2312"/>
                <w:spacing w:val="-11"/>
                <w:sz w:val="24"/>
                <w:szCs w:val="24"/>
                <w:u w:val="none"/>
              </w:rPr>
              <w:t>限500</w:t>
            </w:r>
          </w:p>
          <w:p w14:paraId="6A29D58D">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字以内）</w:t>
            </w:r>
          </w:p>
        </w:tc>
        <w:tc>
          <w:tcPr>
            <w:tcW w:w="7468" w:type="dxa"/>
            <w:gridSpan w:val="4"/>
            <w:shd w:val="clear" w:color="auto" w:fill="FFFFFF"/>
            <w:noWrap w:val="0"/>
            <w:vAlign w:val="top"/>
          </w:tcPr>
          <w:p w14:paraId="13F5DAB6">
            <w:pPr>
              <w:keepNext w:val="0"/>
              <w:keepLines w:val="0"/>
              <w:pageBreakBefore w:val="0"/>
              <w:widowControl w:val="0"/>
              <w:kinsoku/>
              <w:wordWrap/>
              <w:overflowPunct/>
              <w:topLinePunct w:val="0"/>
              <w:autoSpaceDE/>
              <w:autoSpaceDN/>
              <w:bidi w:val="0"/>
              <w:adjustRightInd w:val="0"/>
              <w:snapToGrid w:val="0"/>
              <w:spacing w:line="500" w:lineRule="exact"/>
              <w:ind w:firstLine="514" w:firstLineChars="200"/>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港口是连接国民经济命脉与国家海洋强国战略的核心枢纽，智能化作业已成为港口发展的必然趋势。轮胎式集装箱起重机、轨道式门式起重机等移动搬运装备作为港口存量最大、应用最广的主力作业装备，其智能化水平直接决定了港口的运营效率、安全水平与国际竞争力。由于港口移动搬运装备作业空间跨度大、负载惯量大、环境扰动强，在港口雨雾、强光等复杂工况下，现有方案存在以下技术瓶颈：1）多视点感知精度不足，港口装备作业空间跨度大，多视点感知误差随观测尺度扩大而传播放大，且雨雾、强光等环境干扰易造成目标特征缺失，影响整机作业精度；2）柔性吊具稳定控制困难，吊起装置柔性绳驱系统呈显著的欠约束与强非线性特征，叠加不同负载效应与港口强横风干扰，造成其控制存在易摇摆、难对准等问题；3）港口移动搬运装备作业环境中人、机、物强动态交互，难以全面、及时评估安全裕度与风险边界，导致作业安全保障能力不足。为此，亟须突破港口移动搬运装备精准感知、刚柔耦合稳定控制与多层级风险主动防护等共性“卡脖子”技术。</w:t>
            </w:r>
          </w:p>
          <w:p w14:paraId="7DCB61D3">
            <w:pPr>
              <w:keepNext w:val="0"/>
              <w:keepLines w:val="0"/>
              <w:pageBreakBefore w:val="0"/>
              <w:widowControl w:val="0"/>
              <w:kinsoku/>
              <w:wordWrap/>
              <w:overflowPunct/>
              <w:topLinePunct w:val="0"/>
              <w:autoSpaceDE/>
              <w:autoSpaceDN/>
              <w:bidi w:val="0"/>
              <w:adjustRightInd w:val="0"/>
              <w:snapToGrid w:val="0"/>
              <w:spacing w:line="500" w:lineRule="exact"/>
              <w:ind w:firstLine="514" w:firstLineChars="200"/>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lang w:val="en-US" w:eastAsia="zh-CN"/>
              </w:rPr>
              <w:t>项目拟面向港口移动搬运装备复杂工况自主作业需求，重点开展空间多视点全天候视觉定位、柔性吊起装置变负载控制和全过程自主作业安全防护三方面研究，系统提升装备在复杂环境下的精准感知、稳定作业和安全管控能力。</w:t>
            </w:r>
          </w:p>
        </w:tc>
      </w:tr>
      <w:tr w14:paraId="43AE81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gridAfter w:val="1"/>
          <w:wAfter w:w="30" w:type="dxa"/>
          <w:trHeight w:val="1322" w:hRule="atLeast"/>
          <w:jc w:val="center"/>
        </w:trPr>
        <w:tc>
          <w:tcPr>
            <w:tcW w:w="1036" w:type="dxa"/>
            <w:shd w:val="clear" w:color="auto" w:fill="FFFFFF"/>
            <w:noWrap w:val="0"/>
            <w:vAlign w:val="center"/>
          </w:tcPr>
          <w:p w14:paraId="240AA83E">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技术攻关后希望达到的预期技术目标（限500字以内）</w:t>
            </w:r>
          </w:p>
        </w:tc>
        <w:tc>
          <w:tcPr>
            <w:tcW w:w="7468" w:type="dxa"/>
            <w:gridSpan w:val="4"/>
            <w:shd w:val="clear" w:color="auto" w:fill="FFFFFF"/>
            <w:noWrap w:val="0"/>
            <w:vAlign w:val="center"/>
          </w:tcPr>
          <w:p w14:paraId="1224E704">
            <w:pPr>
              <w:keepNext w:val="0"/>
              <w:keepLines w:val="0"/>
              <w:pageBreakBefore w:val="0"/>
              <w:widowControl w:val="0"/>
              <w:kinsoku/>
              <w:wordWrap/>
              <w:overflowPunct/>
              <w:topLinePunct w:val="0"/>
              <w:autoSpaceDE/>
              <w:autoSpaceDN/>
              <w:bidi w:val="0"/>
              <w:adjustRightInd w:val="0"/>
              <w:snapToGrid w:val="0"/>
              <w:spacing w:line="500" w:lineRule="exact"/>
              <w:ind w:firstLine="514" w:firstLineChars="200"/>
              <w:jc w:val="left"/>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b/>
                <w:bCs/>
                <w:sz w:val="24"/>
                <w:szCs w:val="24"/>
                <w:highlight w:val="none"/>
                <w:u w:val="none"/>
                <w:lang w:val="en-US" w:eastAsia="zh-CN"/>
              </w:rPr>
              <w:t>一、攻关后要求达到的技术参数</w:t>
            </w:r>
          </w:p>
          <w:p w14:paraId="1F1FCDEF">
            <w:pPr>
              <w:keepNext w:val="0"/>
              <w:keepLines w:val="0"/>
              <w:pageBreakBefore w:val="0"/>
              <w:widowControl w:val="0"/>
              <w:kinsoku/>
              <w:wordWrap/>
              <w:overflowPunct/>
              <w:topLinePunct w:val="0"/>
              <w:autoSpaceDE/>
              <w:autoSpaceDN/>
              <w:bidi w:val="0"/>
              <w:adjustRightInd w:val="0"/>
              <w:snapToGrid w:val="0"/>
              <w:spacing w:line="500" w:lineRule="exact"/>
              <w:ind w:firstLine="514" w:firstLineChars="200"/>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1</w:t>
            </w:r>
            <w:r>
              <w:rPr>
                <w:rFonts w:hint="eastAsia" w:ascii="仿宋_GB2312" w:hAnsi="仿宋_GB2312" w:cs="仿宋_GB2312"/>
                <w:sz w:val="24"/>
                <w:szCs w:val="24"/>
                <w:u w:val="none"/>
                <w:lang w:eastAsia="zh-CN"/>
              </w:rPr>
              <w:t>.</w:t>
            </w:r>
            <w:r>
              <w:rPr>
                <w:rFonts w:hint="eastAsia" w:ascii="仿宋_GB2312" w:hAnsi="仿宋_GB2312" w:eastAsia="仿宋_GB2312" w:cs="仿宋_GB2312"/>
                <w:sz w:val="24"/>
                <w:szCs w:val="24"/>
                <w:u w:val="none"/>
              </w:rPr>
              <w:t>空间多视点全天候视觉定位性能指标：</w:t>
            </w:r>
          </w:p>
          <w:p w14:paraId="0A505BE0">
            <w:pPr>
              <w:keepNext w:val="0"/>
              <w:keepLines w:val="0"/>
              <w:pageBreakBefore w:val="0"/>
              <w:widowControl w:val="0"/>
              <w:kinsoku/>
              <w:wordWrap/>
              <w:overflowPunct/>
              <w:topLinePunct w:val="0"/>
              <w:autoSpaceDE/>
              <w:autoSpaceDN/>
              <w:bidi w:val="0"/>
              <w:adjustRightInd w:val="0"/>
              <w:snapToGrid w:val="0"/>
              <w:spacing w:line="500" w:lineRule="exact"/>
              <w:ind w:firstLine="514" w:firstLineChars="200"/>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（1）作业场景覆盖中雨（24h降雨量10-25 mm）、大雨（24h降雨量25-50 mm）、大雾（海面能见度0.5-1 km）、浓雾（海面能见度0.2-0.5 km）、弱光（1-10 lx）、低照度（10-50 lx）、散射光（500-5000 lx）、强光（10000-30000 lx）等8类以上复杂作业工况；</w:t>
            </w:r>
          </w:p>
          <w:p w14:paraId="7A3377E3">
            <w:pPr>
              <w:keepNext w:val="0"/>
              <w:keepLines w:val="0"/>
              <w:pageBreakBefore w:val="0"/>
              <w:widowControl w:val="0"/>
              <w:kinsoku/>
              <w:wordWrap/>
              <w:overflowPunct/>
              <w:topLinePunct w:val="0"/>
              <w:autoSpaceDE/>
              <w:autoSpaceDN/>
              <w:bidi w:val="0"/>
              <w:adjustRightInd w:val="0"/>
              <w:snapToGrid w:val="0"/>
              <w:spacing w:line="500" w:lineRule="exact"/>
              <w:ind w:firstLine="514" w:firstLineChars="200"/>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（2）大车行走全时纠偏误差≤40 mm；</w:t>
            </w:r>
          </w:p>
          <w:p w14:paraId="218EAE73">
            <w:pPr>
              <w:keepNext w:val="0"/>
              <w:keepLines w:val="0"/>
              <w:pageBreakBefore w:val="0"/>
              <w:widowControl w:val="0"/>
              <w:kinsoku/>
              <w:wordWrap/>
              <w:overflowPunct/>
              <w:topLinePunct w:val="0"/>
              <w:autoSpaceDE/>
              <w:autoSpaceDN/>
              <w:bidi w:val="0"/>
              <w:adjustRightInd w:val="0"/>
              <w:snapToGrid w:val="0"/>
              <w:spacing w:line="500" w:lineRule="exact"/>
              <w:ind w:firstLine="514" w:firstLineChars="200"/>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（3）集卡引导误差≤45 mm，集卡偏转角度检测误差≤0.5°；</w:t>
            </w:r>
          </w:p>
          <w:p w14:paraId="58491D35">
            <w:pPr>
              <w:keepNext w:val="0"/>
              <w:keepLines w:val="0"/>
              <w:pageBreakBefore w:val="0"/>
              <w:widowControl w:val="0"/>
              <w:kinsoku/>
              <w:wordWrap/>
              <w:overflowPunct/>
              <w:topLinePunct w:val="0"/>
              <w:autoSpaceDE/>
              <w:autoSpaceDN/>
              <w:bidi w:val="0"/>
              <w:adjustRightInd w:val="0"/>
              <w:snapToGrid w:val="0"/>
              <w:spacing w:line="500" w:lineRule="exact"/>
              <w:ind w:firstLine="514" w:firstLineChars="200"/>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（4）全型号箱体目标定位误差≤45 mm；</w:t>
            </w:r>
          </w:p>
          <w:p w14:paraId="13BEFF51">
            <w:pPr>
              <w:keepNext w:val="0"/>
              <w:keepLines w:val="0"/>
              <w:pageBreakBefore w:val="0"/>
              <w:widowControl w:val="0"/>
              <w:kinsoku/>
              <w:wordWrap/>
              <w:overflowPunct/>
              <w:topLinePunct w:val="0"/>
              <w:autoSpaceDE/>
              <w:autoSpaceDN/>
              <w:bidi w:val="0"/>
              <w:adjustRightInd w:val="0"/>
              <w:snapToGrid w:val="0"/>
              <w:spacing w:line="500" w:lineRule="exact"/>
              <w:ind w:firstLine="514" w:firstLineChars="200"/>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（5）系统定位处理时间≤50 ms。</w:t>
            </w:r>
          </w:p>
          <w:p w14:paraId="61C1A744">
            <w:pPr>
              <w:keepNext w:val="0"/>
              <w:keepLines w:val="0"/>
              <w:pageBreakBefore w:val="0"/>
              <w:widowControl w:val="0"/>
              <w:kinsoku/>
              <w:wordWrap/>
              <w:overflowPunct/>
              <w:topLinePunct w:val="0"/>
              <w:autoSpaceDE/>
              <w:autoSpaceDN/>
              <w:bidi w:val="0"/>
              <w:adjustRightInd w:val="0"/>
              <w:snapToGrid w:val="0"/>
              <w:spacing w:line="500" w:lineRule="exact"/>
              <w:ind w:firstLine="514" w:firstLineChars="200"/>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2</w:t>
            </w:r>
            <w:r>
              <w:rPr>
                <w:rFonts w:hint="eastAsia" w:ascii="仿宋_GB2312" w:hAnsi="仿宋_GB2312" w:cs="仿宋_GB2312"/>
                <w:sz w:val="24"/>
                <w:szCs w:val="24"/>
                <w:u w:val="none"/>
                <w:lang w:eastAsia="zh-CN"/>
              </w:rPr>
              <w:t>.</w:t>
            </w:r>
            <w:r>
              <w:rPr>
                <w:rFonts w:hint="eastAsia" w:ascii="仿宋_GB2312" w:hAnsi="仿宋_GB2312" w:eastAsia="仿宋_GB2312" w:cs="仿宋_GB2312"/>
                <w:sz w:val="24"/>
                <w:szCs w:val="24"/>
                <w:u w:val="none"/>
              </w:rPr>
              <w:t>柔性吊起装置变负载控制性能指标：</w:t>
            </w:r>
          </w:p>
          <w:p w14:paraId="29A202AC">
            <w:pPr>
              <w:keepNext w:val="0"/>
              <w:keepLines w:val="0"/>
              <w:pageBreakBefore w:val="0"/>
              <w:widowControl w:val="0"/>
              <w:kinsoku/>
              <w:wordWrap/>
              <w:overflowPunct/>
              <w:topLinePunct w:val="0"/>
              <w:autoSpaceDE/>
              <w:autoSpaceDN/>
              <w:bidi w:val="0"/>
              <w:adjustRightInd w:val="0"/>
              <w:snapToGrid w:val="0"/>
              <w:spacing w:line="500" w:lineRule="exact"/>
              <w:ind w:firstLine="514" w:firstLineChars="200"/>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（1）覆盖全尺寸作业箱体，作业负载范围2.28-30.48吨；</w:t>
            </w:r>
          </w:p>
          <w:p w14:paraId="0852280D">
            <w:pPr>
              <w:keepNext w:val="0"/>
              <w:keepLines w:val="0"/>
              <w:pageBreakBefore w:val="0"/>
              <w:widowControl w:val="0"/>
              <w:kinsoku/>
              <w:wordWrap/>
              <w:overflowPunct/>
              <w:topLinePunct w:val="0"/>
              <w:autoSpaceDE/>
              <w:autoSpaceDN/>
              <w:bidi w:val="0"/>
              <w:adjustRightInd w:val="0"/>
              <w:snapToGrid w:val="0"/>
              <w:spacing w:line="500" w:lineRule="exact"/>
              <w:ind w:firstLine="514" w:firstLineChars="200"/>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（2）自动化运箱最大限速标准下，运箱全程摆动幅度≤30 mm；</w:t>
            </w:r>
          </w:p>
          <w:p w14:paraId="689C5869">
            <w:pPr>
              <w:keepNext w:val="0"/>
              <w:keepLines w:val="0"/>
              <w:pageBreakBefore w:val="0"/>
              <w:widowControl w:val="0"/>
              <w:kinsoku/>
              <w:wordWrap/>
              <w:overflowPunct/>
              <w:topLinePunct w:val="0"/>
              <w:autoSpaceDE/>
              <w:autoSpaceDN/>
              <w:bidi w:val="0"/>
              <w:adjustRightInd w:val="0"/>
              <w:snapToGrid w:val="0"/>
              <w:spacing w:line="500" w:lineRule="exact"/>
              <w:ind w:firstLine="514" w:firstLineChars="200"/>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（3）抓箱-对箱-叠箱时间≤180 s；</w:t>
            </w:r>
          </w:p>
          <w:p w14:paraId="0AE78BFC">
            <w:pPr>
              <w:keepNext w:val="0"/>
              <w:keepLines w:val="0"/>
              <w:pageBreakBefore w:val="0"/>
              <w:widowControl w:val="0"/>
              <w:kinsoku/>
              <w:wordWrap/>
              <w:overflowPunct/>
              <w:topLinePunct w:val="0"/>
              <w:autoSpaceDE/>
              <w:autoSpaceDN/>
              <w:bidi w:val="0"/>
              <w:adjustRightInd w:val="0"/>
              <w:snapToGrid w:val="0"/>
              <w:spacing w:line="500" w:lineRule="exact"/>
              <w:ind w:firstLine="514" w:firstLineChars="200"/>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（4）本贝作业效率≥32 move/h；</w:t>
            </w:r>
          </w:p>
          <w:p w14:paraId="57930F8C">
            <w:pPr>
              <w:keepNext w:val="0"/>
              <w:keepLines w:val="0"/>
              <w:pageBreakBefore w:val="0"/>
              <w:widowControl w:val="0"/>
              <w:kinsoku/>
              <w:wordWrap/>
              <w:overflowPunct/>
              <w:topLinePunct w:val="0"/>
              <w:autoSpaceDE/>
              <w:autoSpaceDN/>
              <w:bidi w:val="0"/>
              <w:adjustRightInd w:val="0"/>
              <w:snapToGrid w:val="0"/>
              <w:spacing w:line="500" w:lineRule="exact"/>
              <w:ind w:firstLine="514" w:firstLineChars="200"/>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（5）箱区及车道区全自动运行区间占比100%。</w:t>
            </w:r>
          </w:p>
          <w:p w14:paraId="28058842">
            <w:pPr>
              <w:keepNext w:val="0"/>
              <w:keepLines w:val="0"/>
              <w:pageBreakBefore w:val="0"/>
              <w:widowControl w:val="0"/>
              <w:kinsoku/>
              <w:wordWrap/>
              <w:overflowPunct/>
              <w:topLinePunct w:val="0"/>
              <w:autoSpaceDE/>
              <w:autoSpaceDN/>
              <w:bidi w:val="0"/>
              <w:adjustRightInd w:val="0"/>
              <w:snapToGrid w:val="0"/>
              <w:spacing w:line="500" w:lineRule="exact"/>
              <w:ind w:firstLine="514" w:firstLineChars="200"/>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3</w:t>
            </w:r>
            <w:r>
              <w:rPr>
                <w:rFonts w:hint="eastAsia" w:ascii="仿宋_GB2312" w:hAnsi="仿宋_GB2312" w:cs="仿宋_GB2312"/>
                <w:sz w:val="24"/>
                <w:szCs w:val="24"/>
                <w:u w:val="none"/>
                <w:lang w:eastAsia="zh-CN"/>
              </w:rPr>
              <w:t>.</w:t>
            </w:r>
            <w:r>
              <w:rPr>
                <w:rFonts w:hint="eastAsia" w:ascii="仿宋_GB2312" w:hAnsi="仿宋_GB2312" w:eastAsia="仿宋_GB2312" w:cs="仿宋_GB2312"/>
                <w:sz w:val="24"/>
                <w:szCs w:val="24"/>
                <w:u w:val="none"/>
              </w:rPr>
              <w:t>全过程自主作业安全性能指标：</w:t>
            </w:r>
          </w:p>
          <w:p w14:paraId="4FDDF53E">
            <w:pPr>
              <w:keepNext w:val="0"/>
              <w:keepLines w:val="0"/>
              <w:pageBreakBefore w:val="0"/>
              <w:widowControl w:val="0"/>
              <w:kinsoku/>
              <w:wordWrap/>
              <w:overflowPunct/>
              <w:topLinePunct w:val="0"/>
              <w:autoSpaceDE/>
              <w:autoSpaceDN/>
              <w:bidi w:val="0"/>
              <w:adjustRightInd w:val="0"/>
              <w:snapToGrid w:val="0"/>
              <w:spacing w:line="500" w:lineRule="exact"/>
              <w:ind w:firstLine="514" w:firstLineChars="200"/>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1）具备人、机、物强动态交互场景下的立体安全电子围栏预警与风险分级能力，作业区域识别范围覆盖港区作业人员、集卡、AGV/IGV、叉车、场桥/轨道吊、集装箱、锥桶、隔离栏、临时障碍物等不少于12类典型交互对象，动态目标检测率≥98%，连续跟踪丢失率≤2%；</w:t>
            </w:r>
          </w:p>
          <w:p w14:paraId="2494A916">
            <w:pPr>
              <w:keepNext w:val="0"/>
              <w:keepLines w:val="0"/>
              <w:pageBreakBefore w:val="0"/>
              <w:widowControl w:val="0"/>
              <w:kinsoku/>
              <w:wordWrap/>
              <w:overflowPunct/>
              <w:topLinePunct w:val="0"/>
              <w:autoSpaceDE/>
              <w:autoSpaceDN/>
              <w:bidi w:val="0"/>
              <w:adjustRightInd w:val="0"/>
              <w:snapToGrid w:val="0"/>
              <w:spacing w:line="500" w:lineRule="exact"/>
              <w:ind w:firstLine="514" w:firstLineChars="200"/>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（2）大车防撞识别种类≥10种，识别距离≥10 m，识别时间≤30 ms；</w:t>
            </w:r>
          </w:p>
          <w:p w14:paraId="757428C9">
            <w:pPr>
              <w:keepNext w:val="0"/>
              <w:keepLines w:val="0"/>
              <w:pageBreakBefore w:val="0"/>
              <w:widowControl w:val="0"/>
              <w:kinsoku/>
              <w:wordWrap/>
              <w:overflowPunct/>
              <w:topLinePunct w:val="0"/>
              <w:autoSpaceDE/>
              <w:autoSpaceDN/>
              <w:bidi w:val="0"/>
              <w:adjustRightInd w:val="0"/>
              <w:snapToGrid w:val="0"/>
              <w:spacing w:line="500" w:lineRule="exact"/>
              <w:ind w:firstLine="514" w:firstLineChars="200"/>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（3）覆盖集卡装卸防吊起情况≥80种，吊起轮胎离地检测高度≤400 mm，识别时间≤40 ms；</w:t>
            </w:r>
          </w:p>
          <w:p w14:paraId="1196FF10">
            <w:pPr>
              <w:keepNext w:val="0"/>
              <w:keepLines w:val="0"/>
              <w:pageBreakBefore w:val="0"/>
              <w:widowControl w:val="0"/>
              <w:kinsoku/>
              <w:wordWrap/>
              <w:overflowPunct/>
              <w:topLinePunct w:val="0"/>
              <w:autoSpaceDE/>
              <w:autoSpaceDN/>
              <w:bidi w:val="0"/>
              <w:adjustRightInd w:val="0"/>
              <w:snapToGrid w:val="0"/>
              <w:spacing w:line="500" w:lineRule="exact"/>
              <w:ind w:firstLine="514" w:firstLineChars="200"/>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（4）运箱防碰箱系统识别时间≤50 ms，碰撞距离预测误差≤50 mm。</w:t>
            </w:r>
          </w:p>
          <w:p w14:paraId="71ADE785">
            <w:pPr>
              <w:keepNext w:val="0"/>
              <w:keepLines w:val="0"/>
              <w:pageBreakBefore w:val="0"/>
              <w:widowControl w:val="0"/>
              <w:kinsoku/>
              <w:wordWrap/>
              <w:overflowPunct/>
              <w:topLinePunct w:val="0"/>
              <w:autoSpaceDE/>
              <w:autoSpaceDN/>
              <w:bidi w:val="0"/>
              <w:adjustRightInd w:val="0"/>
              <w:snapToGrid w:val="0"/>
              <w:spacing w:line="500" w:lineRule="exact"/>
              <w:ind w:firstLine="514" w:firstLineChars="200"/>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b/>
                <w:bCs/>
                <w:sz w:val="24"/>
                <w:szCs w:val="24"/>
                <w:highlight w:val="none"/>
                <w:u w:val="none"/>
                <w:lang w:val="en-US" w:eastAsia="zh-CN"/>
              </w:rPr>
              <w:t>二、成果指标</w:t>
            </w:r>
          </w:p>
          <w:p w14:paraId="1826B6FD">
            <w:pPr>
              <w:keepNext w:val="0"/>
              <w:keepLines w:val="0"/>
              <w:pageBreakBefore w:val="0"/>
              <w:widowControl w:val="0"/>
              <w:kinsoku/>
              <w:wordWrap/>
              <w:overflowPunct/>
              <w:topLinePunct w:val="0"/>
              <w:autoSpaceDE/>
              <w:autoSpaceDN/>
              <w:bidi w:val="0"/>
              <w:adjustRightInd w:val="0"/>
              <w:snapToGrid w:val="0"/>
              <w:spacing w:line="500" w:lineRule="exact"/>
              <w:ind w:firstLine="514" w:firstLineChars="200"/>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申请发明专利≥8件，授权软件著作权≥5件</w:t>
            </w:r>
            <w:r>
              <w:rPr>
                <w:rFonts w:hint="eastAsia" w:ascii="仿宋_GB2312" w:hAnsi="仿宋_GB2312" w:eastAsia="仿宋_GB2312" w:cs="仿宋_GB2312"/>
                <w:sz w:val="24"/>
                <w:szCs w:val="24"/>
                <w:u w:val="none"/>
                <w:lang w:eastAsia="zh-CN"/>
              </w:rPr>
              <w:t>，发表论文≥5篇</w:t>
            </w:r>
            <w:r>
              <w:rPr>
                <w:rFonts w:hint="eastAsia" w:ascii="仿宋_GB2312" w:hAnsi="仿宋_GB2312" w:eastAsia="仿宋_GB2312" w:cs="仿宋_GB2312"/>
                <w:sz w:val="24"/>
                <w:szCs w:val="24"/>
                <w:u w:val="none"/>
              </w:rPr>
              <w:t>。</w:t>
            </w:r>
          </w:p>
        </w:tc>
      </w:tr>
      <w:tr w14:paraId="1D0959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gridAfter w:val="1"/>
          <w:wAfter w:w="30" w:type="dxa"/>
          <w:trHeight w:val="863" w:hRule="atLeast"/>
          <w:jc w:val="center"/>
        </w:trPr>
        <w:tc>
          <w:tcPr>
            <w:tcW w:w="1036" w:type="dxa"/>
            <w:shd w:val="clear" w:color="auto" w:fill="FFFFFF"/>
            <w:noWrap w:val="0"/>
            <w:vAlign w:val="center"/>
          </w:tcPr>
          <w:p w14:paraId="1E0E6192">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时限要求</w:t>
            </w:r>
          </w:p>
        </w:tc>
        <w:tc>
          <w:tcPr>
            <w:tcW w:w="7468" w:type="dxa"/>
            <w:gridSpan w:val="4"/>
            <w:shd w:val="clear" w:color="auto" w:fill="FFFFFF"/>
            <w:noWrap w:val="0"/>
            <w:vAlign w:val="center"/>
          </w:tcPr>
          <w:p w14:paraId="48A00ED9">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202</w:t>
            </w:r>
            <w:r>
              <w:rPr>
                <w:rFonts w:hint="default" w:ascii="仿宋_GB2312" w:hAnsi="仿宋_GB2312" w:cs="仿宋_GB2312"/>
                <w:sz w:val="24"/>
                <w:szCs w:val="24"/>
                <w:u w:val="none"/>
                <w:lang w:val="en"/>
              </w:rPr>
              <w:t>9</w:t>
            </w:r>
            <w:r>
              <w:rPr>
                <w:rFonts w:hint="eastAsia" w:ascii="仿宋_GB2312" w:hAnsi="仿宋_GB2312" w:eastAsia="仿宋_GB2312" w:cs="仿宋_GB2312"/>
                <w:sz w:val="24"/>
                <w:szCs w:val="24"/>
                <w:u w:val="none"/>
              </w:rPr>
              <w:t>年12月前完成</w:t>
            </w:r>
          </w:p>
        </w:tc>
      </w:tr>
      <w:tr w14:paraId="793956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gridAfter w:val="1"/>
          <w:wAfter w:w="30" w:type="dxa"/>
          <w:trHeight w:val="412" w:hRule="atLeast"/>
          <w:jc w:val="center"/>
        </w:trPr>
        <w:tc>
          <w:tcPr>
            <w:tcW w:w="8504" w:type="dxa"/>
            <w:gridSpan w:val="5"/>
            <w:shd w:val="clear" w:color="auto" w:fill="FFFFFF"/>
            <w:noWrap w:val="0"/>
            <w:vAlign w:val="center"/>
          </w:tcPr>
          <w:p w14:paraId="08FFA4DE">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以下信息供揭榜方参考</w:t>
            </w:r>
          </w:p>
          <w:p w14:paraId="60034FCE">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（揭榜方与福建省技术需求企业联合申报项目，技术需求企业也可以是榜单之外的同行企业）</w:t>
            </w:r>
          </w:p>
        </w:tc>
      </w:tr>
      <w:tr w14:paraId="489582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gridAfter w:val="1"/>
          <w:wAfter w:w="30" w:type="dxa"/>
          <w:trHeight w:val="412" w:hRule="atLeast"/>
          <w:jc w:val="center"/>
        </w:trPr>
        <w:tc>
          <w:tcPr>
            <w:tcW w:w="1632" w:type="dxa"/>
            <w:gridSpan w:val="2"/>
            <w:vMerge w:val="restart"/>
            <w:shd w:val="clear" w:color="auto" w:fill="FFFFFF"/>
            <w:noWrap w:val="0"/>
            <w:vAlign w:val="center"/>
          </w:tcPr>
          <w:p w14:paraId="21ACE96C">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技术需求牵头企业（非排他性，可以多个）</w:t>
            </w:r>
          </w:p>
        </w:tc>
        <w:tc>
          <w:tcPr>
            <w:tcW w:w="4210" w:type="dxa"/>
            <w:vMerge w:val="restart"/>
            <w:shd w:val="clear" w:color="auto" w:fill="FFFFFF"/>
            <w:noWrap w:val="0"/>
            <w:vAlign w:val="center"/>
          </w:tcPr>
          <w:p w14:paraId="34059885">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福建省港口集团有限责任公司</w:t>
            </w:r>
          </w:p>
        </w:tc>
        <w:tc>
          <w:tcPr>
            <w:tcW w:w="2662" w:type="dxa"/>
            <w:gridSpan w:val="2"/>
            <w:shd w:val="clear" w:color="auto" w:fill="FFFFFF"/>
            <w:noWrap w:val="0"/>
            <w:vAlign w:val="center"/>
          </w:tcPr>
          <w:p w14:paraId="1B348D7A">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单位性质</w:t>
            </w:r>
          </w:p>
        </w:tc>
      </w:tr>
      <w:tr w14:paraId="6988B0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gridAfter w:val="1"/>
          <w:wAfter w:w="30" w:type="dxa"/>
          <w:trHeight w:val="412" w:hRule="atLeast"/>
          <w:jc w:val="center"/>
        </w:trPr>
        <w:tc>
          <w:tcPr>
            <w:tcW w:w="1632" w:type="dxa"/>
            <w:gridSpan w:val="2"/>
            <w:vMerge w:val="continue"/>
            <w:shd w:val="clear" w:color="auto" w:fill="FFFFFF"/>
            <w:noWrap w:val="0"/>
            <w:vAlign w:val="center"/>
          </w:tcPr>
          <w:p w14:paraId="79075E19">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hint="eastAsia" w:ascii="仿宋_GB2312" w:hAnsi="仿宋_GB2312" w:eastAsia="仿宋_GB2312" w:cs="仿宋_GB2312"/>
                <w:sz w:val="24"/>
                <w:szCs w:val="24"/>
                <w:u w:val="none"/>
              </w:rPr>
            </w:pPr>
          </w:p>
        </w:tc>
        <w:tc>
          <w:tcPr>
            <w:tcW w:w="4210" w:type="dxa"/>
            <w:vMerge w:val="continue"/>
            <w:shd w:val="clear" w:color="auto" w:fill="FFFFFF"/>
            <w:noWrap w:val="0"/>
            <w:vAlign w:val="center"/>
          </w:tcPr>
          <w:p w14:paraId="3E67F9E8">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hint="eastAsia" w:ascii="仿宋_GB2312" w:hAnsi="仿宋_GB2312" w:eastAsia="仿宋_GB2312" w:cs="仿宋_GB2312"/>
                <w:sz w:val="24"/>
                <w:szCs w:val="24"/>
                <w:u w:val="none"/>
              </w:rPr>
            </w:pPr>
          </w:p>
        </w:tc>
        <w:tc>
          <w:tcPr>
            <w:tcW w:w="2662" w:type="dxa"/>
            <w:gridSpan w:val="2"/>
            <w:shd w:val="clear" w:color="auto" w:fill="FFFFFF"/>
            <w:noWrap w:val="0"/>
            <w:vAlign w:val="center"/>
          </w:tcPr>
          <w:p w14:paraId="237BCA94">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sym w:font="Wingdings 2" w:char="F052"/>
            </w:r>
            <w:r>
              <w:rPr>
                <w:rFonts w:hint="eastAsia" w:ascii="仿宋_GB2312" w:hAnsi="仿宋_GB2312" w:eastAsia="仿宋_GB2312" w:cs="仿宋_GB2312"/>
                <w:sz w:val="24"/>
                <w:szCs w:val="24"/>
                <w:u w:val="none"/>
              </w:rPr>
              <w:t>龙头企业 □骨干企业（□高新技术企业、、□科技型企业）</w:t>
            </w:r>
          </w:p>
        </w:tc>
      </w:tr>
      <w:tr w14:paraId="238134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632" w:type="dxa"/>
            <w:gridSpan w:val="2"/>
            <w:shd w:val="clear" w:color="auto" w:fill="FFFFFF"/>
            <w:noWrap w:val="0"/>
            <w:vAlign w:val="center"/>
          </w:tcPr>
          <w:p w14:paraId="774F289F">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技术需求牵头企业联系方式</w:t>
            </w:r>
          </w:p>
        </w:tc>
        <w:tc>
          <w:tcPr>
            <w:tcW w:w="6902" w:type="dxa"/>
            <w:gridSpan w:val="4"/>
            <w:shd w:val="clear" w:color="auto" w:fill="FFFFFF"/>
            <w:noWrap w:val="0"/>
            <w:vAlign w:val="center"/>
          </w:tcPr>
          <w:p w14:paraId="402D2649">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刘显民，13799792369</w:t>
            </w:r>
          </w:p>
        </w:tc>
      </w:tr>
      <w:tr w14:paraId="7F4EFE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036" w:type="dxa"/>
            <w:vMerge w:val="restart"/>
            <w:shd w:val="clear" w:color="auto" w:fill="FFFFFF"/>
            <w:noWrap w:val="0"/>
            <w:vAlign w:val="center"/>
          </w:tcPr>
          <w:p w14:paraId="3D3A7F31">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有共同技术需求的同行企业（非排他性）</w:t>
            </w:r>
          </w:p>
        </w:tc>
        <w:tc>
          <w:tcPr>
            <w:tcW w:w="596" w:type="dxa"/>
            <w:shd w:val="clear" w:color="auto" w:fill="FFFFFF"/>
            <w:noWrap w:val="0"/>
            <w:vAlign w:val="center"/>
          </w:tcPr>
          <w:p w14:paraId="56862ACF">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序号</w:t>
            </w:r>
          </w:p>
        </w:tc>
        <w:tc>
          <w:tcPr>
            <w:tcW w:w="4224" w:type="dxa"/>
            <w:gridSpan w:val="2"/>
            <w:shd w:val="clear" w:color="auto" w:fill="FFFFFF"/>
            <w:noWrap w:val="0"/>
            <w:vAlign w:val="center"/>
          </w:tcPr>
          <w:p w14:paraId="5270924D">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单位名称</w:t>
            </w:r>
          </w:p>
        </w:tc>
        <w:tc>
          <w:tcPr>
            <w:tcW w:w="2678" w:type="dxa"/>
            <w:gridSpan w:val="2"/>
            <w:shd w:val="clear" w:color="auto" w:fill="FFFFFF"/>
            <w:noWrap w:val="0"/>
            <w:vAlign w:val="center"/>
          </w:tcPr>
          <w:p w14:paraId="3C62DF86">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单位性质</w:t>
            </w:r>
          </w:p>
        </w:tc>
      </w:tr>
      <w:tr w14:paraId="779376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036" w:type="dxa"/>
            <w:vMerge w:val="continue"/>
            <w:shd w:val="clear" w:color="auto" w:fill="FFFFFF"/>
            <w:noWrap w:val="0"/>
            <w:vAlign w:val="center"/>
          </w:tcPr>
          <w:p w14:paraId="00691EEF">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hint="eastAsia" w:ascii="仿宋_GB2312" w:hAnsi="仿宋_GB2312" w:eastAsia="仿宋_GB2312" w:cs="仿宋_GB2312"/>
                <w:sz w:val="24"/>
                <w:szCs w:val="24"/>
                <w:u w:val="none"/>
              </w:rPr>
            </w:pPr>
          </w:p>
        </w:tc>
        <w:tc>
          <w:tcPr>
            <w:tcW w:w="596" w:type="dxa"/>
            <w:shd w:val="clear" w:color="auto" w:fill="FFFFFF"/>
            <w:noWrap w:val="0"/>
            <w:vAlign w:val="center"/>
          </w:tcPr>
          <w:p w14:paraId="5DEBC73E">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1</w:t>
            </w:r>
          </w:p>
        </w:tc>
        <w:tc>
          <w:tcPr>
            <w:tcW w:w="4224" w:type="dxa"/>
            <w:gridSpan w:val="2"/>
            <w:shd w:val="clear" w:color="auto" w:fill="FFFFFF"/>
            <w:noWrap w:val="0"/>
            <w:vAlign w:val="center"/>
          </w:tcPr>
          <w:p w14:paraId="4DA89B76">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福建港口科技集团有限公司</w:t>
            </w:r>
          </w:p>
        </w:tc>
        <w:tc>
          <w:tcPr>
            <w:tcW w:w="2678" w:type="dxa"/>
            <w:gridSpan w:val="2"/>
            <w:shd w:val="clear" w:color="auto" w:fill="FFFFFF"/>
            <w:noWrap w:val="0"/>
            <w:vAlign w:val="center"/>
          </w:tcPr>
          <w:p w14:paraId="048204AB">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 xml:space="preserve">□龙头企业 </w:t>
            </w:r>
            <w:r>
              <w:rPr>
                <w:rFonts w:hint="eastAsia" w:ascii="仿宋_GB2312" w:hAnsi="仿宋_GB2312" w:eastAsia="仿宋_GB2312" w:cs="仿宋_GB2312"/>
                <w:sz w:val="24"/>
                <w:szCs w:val="24"/>
                <w:u w:val="none"/>
              </w:rPr>
              <w:sym w:font="Wingdings 2" w:char="F052"/>
            </w:r>
            <w:r>
              <w:rPr>
                <w:rFonts w:hint="eastAsia" w:ascii="仿宋_GB2312" w:hAnsi="仿宋_GB2312" w:eastAsia="仿宋_GB2312" w:cs="仿宋_GB2312"/>
                <w:sz w:val="24"/>
                <w:szCs w:val="24"/>
                <w:u w:val="none"/>
              </w:rPr>
              <w:t>骨干企业 （□高新技术企业、</w:t>
            </w:r>
            <w:r>
              <w:rPr>
                <w:rFonts w:hint="eastAsia" w:ascii="仿宋_GB2312" w:hAnsi="仿宋_GB2312" w:eastAsia="仿宋_GB2312" w:cs="仿宋_GB2312"/>
                <w:sz w:val="24"/>
                <w:szCs w:val="24"/>
                <w:u w:val="none"/>
              </w:rPr>
              <w:sym w:font="Wingdings 2" w:char="F052"/>
            </w:r>
            <w:r>
              <w:rPr>
                <w:rFonts w:hint="eastAsia" w:ascii="仿宋_GB2312" w:hAnsi="仿宋_GB2312" w:eastAsia="仿宋_GB2312" w:cs="仿宋_GB2312"/>
                <w:sz w:val="24"/>
                <w:szCs w:val="24"/>
                <w:u w:val="none"/>
              </w:rPr>
              <w:t>科技型企业）</w:t>
            </w:r>
          </w:p>
        </w:tc>
      </w:tr>
      <w:tr w14:paraId="56BC4F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036" w:type="dxa"/>
            <w:vMerge w:val="continue"/>
            <w:shd w:val="clear" w:color="auto" w:fill="FFFFFF"/>
            <w:noWrap w:val="0"/>
            <w:vAlign w:val="center"/>
          </w:tcPr>
          <w:p w14:paraId="02230265">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hint="eastAsia" w:ascii="仿宋_GB2312" w:hAnsi="仿宋_GB2312" w:eastAsia="仿宋_GB2312" w:cs="仿宋_GB2312"/>
                <w:sz w:val="24"/>
                <w:szCs w:val="24"/>
                <w:u w:val="none"/>
              </w:rPr>
            </w:pPr>
          </w:p>
        </w:tc>
        <w:tc>
          <w:tcPr>
            <w:tcW w:w="596" w:type="dxa"/>
            <w:shd w:val="clear" w:color="auto" w:fill="FFFFFF"/>
            <w:noWrap w:val="0"/>
            <w:vAlign w:val="center"/>
          </w:tcPr>
          <w:p w14:paraId="52023BE6">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2</w:t>
            </w:r>
          </w:p>
        </w:tc>
        <w:tc>
          <w:tcPr>
            <w:tcW w:w="4224" w:type="dxa"/>
            <w:gridSpan w:val="2"/>
            <w:shd w:val="clear" w:color="auto" w:fill="FFFFFF"/>
            <w:noWrap w:val="0"/>
            <w:vAlign w:val="center"/>
          </w:tcPr>
          <w:p w14:paraId="04D2FF0A">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福建电子口岸股份有限公司</w:t>
            </w:r>
          </w:p>
        </w:tc>
        <w:tc>
          <w:tcPr>
            <w:tcW w:w="2678" w:type="dxa"/>
            <w:gridSpan w:val="2"/>
            <w:shd w:val="clear" w:color="auto" w:fill="FFFFFF"/>
            <w:noWrap w:val="0"/>
            <w:vAlign w:val="center"/>
          </w:tcPr>
          <w:p w14:paraId="528AE624">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 xml:space="preserve">□龙头企业 </w:t>
            </w:r>
            <w:r>
              <w:rPr>
                <w:rFonts w:hint="eastAsia" w:ascii="仿宋_GB2312" w:hAnsi="仿宋_GB2312" w:eastAsia="仿宋_GB2312" w:cs="仿宋_GB2312"/>
                <w:sz w:val="24"/>
                <w:szCs w:val="24"/>
                <w:u w:val="none"/>
              </w:rPr>
              <w:sym w:font="Wingdings 2" w:char="F052"/>
            </w:r>
            <w:r>
              <w:rPr>
                <w:rFonts w:hint="eastAsia" w:ascii="仿宋_GB2312" w:hAnsi="仿宋_GB2312" w:eastAsia="仿宋_GB2312" w:cs="仿宋_GB2312"/>
                <w:sz w:val="24"/>
                <w:szCs w:val="24"/>
                <w:u w:val="none"/>
              </w:rPr>
              <w:t>骨干企业 （</w:t>
            </w:r>
            <w:r>
              <w:rPr>
                <w:rFonts w:hint="eastAsia" w:ascii="仿宋_GB2312" w:hAnsi="仿宋_GB2312" w:eastAsia="仿宋_GB2312" w:cs="仿宋_GB2312"/>
                <w:sz w:val="24"/>
                <w:szCs w:val="24"/>
                <w:u w:val="none"/>
              </w:rPr>
              <w:sym w:font="Wingdings 2" w:char="F052"/>
            </w:r>
            <w:r>
              <w:rPr>
                <w:rFonts w:hint="eastAsia" w:ascii="仿宋_GB2312" w:hAnsi="仿宋_GB2312" w:eastAsia="仿宋_GB2312" w:cs="仿宋_GB2312"/>
                <w:sz w:val="24"/>
                <w:szCs w:val="24"/>
                <w:u w:val="none"/>
              </w:rPr>
              <w:t>高新技术企业、</w:t>
            </w:r>
            <w:r>
              <w:rPr>
                <w:rFonts w:hint="eastAsia" w:ascii="仿宋_GB2312" w:hAnsi="仿宋_GB2312" w:eastAsia="仿宋_GB2312" w:cs="仿宋_GB2312"/>
                <w:sz w:val="24"/>
                <w:szCs w:val="24"/>
                <w:u w:val="none"/>
              </w:rPr>
              <w:sym w:font="Wingdings 2" w:char="F052"/>
            </w:r>
            <w:r>
              <w:rPr>
                <w:rFonts w:hint="eastAsia" w:ascii="仿宋_GB2312" w:hAnsi="仿宋_GB2312" w:eastAsia="仿宋_GB2312" w:cs="仿宋_GB2312"/>
                <w:sz w:val="24"/>
                <w:szCs w:val="24"/>
                <w:u w:val="none"/>
              </w:rPr>
              <w:t>科技型企业）</w:t>
            </w:r>
          </w:p>
        </w:tc>
      </w:tr>
      <w:tr w14:paraId="682341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gridAfter w:val="1"/>
          <w:wAfter w:w="30" w:type="dxa"/>
          <w:trHeight w:val="1146" w:hRule="atLeast"/>
          <w:jc w:val="center"/>
        </w:trPr>
        <w:tc>
          <w:tcPr>
            <w:tcW w:w="1036" w:type="dxa"/>
            <w:shd w:val="clear" w:color="auto" w:fill="FFFFFF"/>
            <w:noWrap w:val="0"/>
            <w:vAlign w:val="center"/>
          </w:tcPr>
          <w:p w14:paraId="3ACA08ED">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研发资金投入预测</w:t>
            </w:r>
          </w:p>
        </w:tc>
        <w:tc>
          <w:tcPr>
            <w:tcW w:w="7468" w:type="dxa"/>
            <w:gridSpan w:val="4"/>
            <w:shd w:val="clear" w:color="auto" w:fill="FFFFFF"/>
            <w:noWrap w:val="0"/>
            <w:vAlign w:val="center"/>
          </w:tcPr>
          <w:p w14:paraId="7D84209B">
            <w:pPr>
              <w:keepNext w:val="0"/>
              <w:keepLines w:val="0"/>
              <w:pageBreakBefore w:val="0"/>
              <w:widowControl w:val="0"/>
              <w:kinsoku/>
              <w:wordWrap/>
              <w:overflowPunct/>
              <w:topLinePunct w:val="0"/>
              <w:autoSpaceDE/>
              <w:autoSpaceDN/>
              <w:bidi w:val="0"/>
              <w:adjustRightInd w:val="0"/>
              <w:snapToGrid w:val="0"/>
              <w:spacing w:line="500" w:lineRule="exact"/>
              <w:jc w:val="left"/>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（以揭榜方申报项目测算数据为准）</w:t>
            </w:r>
          </w:p>
          <w:p w14:paraId="2B608114">
            <w:pPr>
              <w:keepNext w:val="0"/>
              <w:keepLines w:val="0"/>
              <w:pageBreakBefore w:val="0"/>
              <w:widowControl w:val="0"/>
              <w:kinsoku/>
              <w:wordWrap/>
              <w:overflowPunct/>
              <w:topLinePunct w:val="0"/>
              <w:autoSpaceDE/>
              <w:autoSpaceDN/>
              <w:bidi w:val="0"/>
              <w:adjustRightInd w:val="0"/>
              <w:snapToGrid w:val="0"/>
              <w:spacing w:line="500" w:lineRule="exact"/>
              <w:ind w:firstLine="1028" w:firstLineChars="400"/>
              <w:jc w:val="left"/>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研发总预算初步预测： 1500 万元</w:t>
            </w:r>
          </w:p>
        </w:tc>
      </w:tr>
      <w:tr w14:paraId="176B8F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gridAfter w:val="1"/>
          <w:wAfter w:w="30" w:type="dxa"/>
          <w:trHeight w:val="758" w:hRule="atLeast"/>
          <w:jc w:val="center"/>
        </w:trPr>
        <w:tc>
          <w:tcPr>
            <w:tcW w:w="1036" w:type="dxa"/>
            <w:shd w:val="clear" w:color="auto" w:fill="FFFFFF"/>
            <w:noWrap w:val="0"/>
            <w:vAlign w:val="center"/>
          </w:tcPr>
          <w:p w14:paraId="38033D1C">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申请财政资金</w:t>
            </w:r>
          </w:p>
        </w:tc>
        <w:tc>
          <w:tcPr>
            <w:tcW w:w="7468" w:type="dxa"/>
            <w:gridSpan w:val="4"/>
            <w:shd w:val="clear" w:color="auto" w:fill="FFFFFF"/>
            <w:noWrap w:val="0"/>
            <w:vAlign w:val="center"/>
          </w:tcPr>
          <w:p w14:paraId="2D5BB991">
            <w:pPr>
              <w:keepNext w:val="0"/>
              <w:keepLines w:val="0"/>
              <w:pageBreakBefore w:val="0"/>
              <w:widowControl w:val="0"/>
              <w:kinsoku/>
              <w:wordWrap/>
              <w:overflowPunct/>
              <w:topLinePunct w:val="0"/>
              <w:autoSpaceDE/>
              <w:autoSpaceDN/>
              <w:bidi w:val="0"/>
              <w:adjustRightInd w:val="0"/>
              <w:snapToGrid w:val="0"/>
              <w:spacing w:line="500" w:lineRule="exact"/>
              <w:jc w:val="left"/>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（不超过500万元）</w:t>
            </w:r>
          </w:p>
          <w:p w14:paraId="1811A1E1">
            <w:pPr>
              <w:keepNext w:val="0"/>
              <w:keepLines w:val="0"/>
              <w:pageBreakBefore w:val="0"/>
              <w:widowControl w:val="0"/>
              <w:kinsoku/>
              <w:wordWrap/>
              <w:overflowPunct/>
              <w:topLinePunct w:val="0"/>
              <w:autoSpaceDE/>
              <w:autoSpaceDN/>
              <w:bidi w:val="0"/>
              <w:adjustRightInd w:val="0"/>
              <w:snapToGrid w:val="0"/>
              <w:spacing w:line="500" w:lineRule="exact"/>
              <w:ind w:firstLine="1028" w:firstLineChars="400"/>
              <w:jc w:val="left"/>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申请省科技厅财政资金不超过： 500 万元</w:t>
            </w:r>
          </w:p>
        </w:tc>
      </w:tr>
      <w:tr w14:paraId="4EA9C3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gridAfter w:val="1"/>
          <w:wAfter w:w="30" w:type="dxa"/>
          <w:trHeight w:val="958" w:hRule="atLeast"/>
          <w:jc w:val="center"/>
        </w:trPr>
        <w:tc>
          <w:tcPr>
            <w:tcW w:w="1036" w:type="dxa"/>
            <w:shd w:val="clear" w:color="auto" w:fill="FFFFFF"/>
            <w:noWrap w:val="0"/>
            <w:vAlign w:val="center"/>
          </w:tcPr>
          <w:p w14:paraId="61CFB234">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企业出资承诺</w:t>
            </w:r>
          </w:p>
        </w:tc>
        <w:tc>
          <w:tcPr>
            <w:tcW w:w="7468" w:type="dxa"/>
            <w:gridSpan w:val="4"/>
            <w:shd w:val="clear" w:color="auto" w:fill="FFFFFF"/>
            <w:noWrap w:val="0"/>
            <w:vAlign w:val="center"/>
          </w:tcPr>
          <w:p w14:paraId="53B85750">
            <w:pPr>
              <w:keepNext w:val="0"/>
              <w:keepLines w:val="0"/>
              <w:pageBreakBefore w:val="0"/>
              <w:widowControl w:val="0"/>
              <w:kinsoku/>
              <w:wordWrap/>
              <w:overflowPunct/>
              <w:topLinePunct w:val="0"/>
              <w:autoSpaceDE/>
              <w:autoSpaceDN/>
              <w:bidi w:val="0"/>
              <w:adjustRightInd w:val="0"/>
              <w:snapToGrid w:val="0"/>
              <w:spacing w:line="500" w:lineRule="exact"/>
              <w:jc w:val="left"/>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本企业愿意为该技术难题攻关提供研发资金不少于  1000  万元。</w:t>
            </w:r>
          </w:p>
          <w:p w14:paraId="09484336">
            <w:pPr>
              <w:keepNext w:val="0"/>
              <w:keepLines w:val="0"/>
              <w:pageBreakBefore w:val="0"/>
              <w:widowControl w:val="0"/>
              <w:kinsoku/>
              <w:wordWrap/>
              <w:overflowPunct/>
              <w:topLinePunct w:val="0"/>
              <w:autoSpaceDE/>
              <w:autoSpaceDN/>
              <w:bidi w:val="0"/>
              <w:adjustRightInd w:val="0"/>
              <w:snapToGrid w:val="0"/>
              <w:spacing w:line="500" w:lineRule="exact"/>
              <w:jc w:val="left"/>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 xml:space="preserve">企业名称： 福建省港口集团有限责任公司     </w:t>
            </w:r>
          </w:p>
        </w:tc>
      </w:tr>
      <w:tr w14:paraId="7872BC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gridAfter w:val="1"/>
          <w:wAfter w:w="30" w:type="dxa"/>
          <w:trHeight w:val="409" w:hRule="atLeast"/>
          <w:jc w:val="center"/>
        </w:trPr>
        <w:tc>
          <w:tcPr>
            <w:tcW w:w="1036" w:type="dxa"/>
            <w:shd w:val="clear" w:color="auto" w:fill="FFFFFF"/>
            <w:noWrap w:val="0"/>
            <w:vAlign w:val="center"/>
          </w:tcPr>
          <w:p w14:paraId="4DDC6B6D">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企业期望产权归属（以双方实际签署合作协议为准）</w:t>
            </w:r>
          </w:p>
        </w:tc>
        <w:tc>
          <w:tcPr>
            <w:tcW w:w="7468" w:type="dxa"/>
            <w:gridSpan w:val="4"/>
            <w:shd w:val="clear" w:color="auto" w:fill="FFFFFF"/>
            <w:noWrap w:val="0"/>
            <w:vAlign w:val="center"/>
          </w:tcPr>
          <w:p w14:paraId="641FD6CA">
            <w:pPr>
              <w:keepNext w:val="0"/>
              <w:keepLines w:val="0"/>
              <w:pageBreakBefore w:val="0"/>
              <w:widowControl w:val="0"/>
              <w:kinsoku/>
              <w:wordWrap/>
              <w:overflowPunct/>
              <w:topLinePunct w:val="0"/>
              <w:autoSpaceDE/>
              <w:autoSpaceDN/>
              <w:bidi w:val="0"/>
              <w:adjustRightInd w:val="0"/>
              <w:snapToGrid w:val="0"/>
              <w:spacing w:line="500" w:lineRule="exact"/>
              <w:ind w:firstLine="514" w:firstLineChars="200"/>
              <w:jc w:val="left"/>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各方独立研发所产生的知识产权归各自所有，共同研发所产生的知识产权归各方共同所有，相关利益分配比例由各方另行协商。各方有责任为合作中了解到他方的技术秘密及商业秘密保守机密，不得向合作之外其他任何单位或个人泄漏。任何一方不得擅自将共同拥有的知识产权向合作之外的单位或个人转让或泄漏。</w:t>
            </w:r>
          </w:p>
        </w:tc>
      </w:tr>
      <w:tr w14:paraId="13FA2D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gridAfter w:val="1"/>
          <w:wAfter w:w="30" w:type="dxa"/>
          <w:trHeight w:val="1480" w:hRule="atLeast"/>
          <w:jc w:val="center"/>
        </w:trPr>
        <w:tc>
          <w:tcPr>
            <w:tcW w:w="1036" w:type="dxa"/>
            <w:shd w:val="clear" w:color="auto" w:fill="FFFFFF"/>
            <w:noWrap w:val="0"/>
            <w:vAlign w:val="center"/>
          </w:tcPr>
          <w:p w14:paraId="16FA9E9D">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企业承接转化后预期的经济、社会效益（限300字以内）</w:t>
            </w:r>
          </w:p>
        </w:tc>
        <w:tc>
          <w:tcPr>
            <w:tcW w:w="7468" w:type="dxa"/>
            <w:gridSpan w:val="4"/>
            <w:shd w:val="clear" w:color="auto" w:fill="FFFFFF"/>
            <w:noWrap w:val="0"/>
            <w:vAlign w:val="center"/>
          </w:tcPr>
          <w:p w14:paraId="24767EEB">
            <w:pPr>
              <w:keepNext w:val="0"/>
              <w:keepLines w:val="0"/>
              <w:pageBreakBefore w:val="0"/>
              <w:widowControl w:val="0"/>
              <w:kinsoku/>
              <w:wordWrap/>
              <w:overflowPunct/>
              <w:topLinePunct w:val="0"/>
              <w:autoSpaceDE/>
              <w:autoSpaceDN/>
              <w:bidi w:val="0"/>
              <w:adjustRightInd w:val="0"/>
              <w:snapToGrid w:val="0"/>
              <w:spacing w:line="500" w:lineRule="exact"/>
              <w:ind w:firstLine="514" w:firstLineChars="200"/>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项目实施可推动港口装备由单机自动化向系统级智能化升级，累计装机≥10台（套），在不少于5个实际运营港口完成连续运行验证</w:t>
            </w:r>
            <w:r>
              <w:rPr>
                <w:rFonts w:hint="eastAsia" w:ascii="仿宋_GB2312" w:hAnsi="仿宋_GB2312" w:eastAsia="仿宋_GB2312" w:cs="仿宋_GB2312"/>
                <w:sz w:val="24"/>
                <w:szCs w:val="24"/>
                <w:u w:val="none"/>
                <w:lang w:eastAsia="zh-CN"/>
              </w:rPr>
              <w:t>，</w:t>
            </w:r>
            <w:r>
              <w:rPr>
                <w:rFonts w:hint="eastAsia" w:ascii="仿宋_GB2312" w:hAnsi="仿宋_GB2312" w:eastAsia="仿宋_GB2312" w:cs="仿宋_GB2312"/>
                <w:sz w:val="24"/>
                <w:szCs w:val="24"/>
                <w:u w:val="none"/>
              </w:rPr>
              <w:t>预计可实现新增产值3000万以上，全面赋能我省智慧港口自主作业、安全管控和高效运营能力建设。相关成果可优先在厦门港、福州港等省内重要枢纽港口应用，有效带动港口装备智能化改造、智慧物流平台建设和港航数据服务升级，并促进省内传感器、智能控制、工业软件、系统集成和运维服务等上下游企业集聚发展。同时，依托福建面向海峡、联通东盟的区位优势，项目还可支撑本省企业拓展东盟及“一带一路”港航市场，增强福建港口装备、智能控制系统和数字化服务的外向型竞争力，进一步完善福建省智慧港口与海洋装备产业生态，为海洋经济高质量发展、区域就业和复合型人才培养提供持续支撑。</w:t>
            </w:r>
          </w:p>
        </w:tc>
      </w:tr>
    </w:tbl>
    <w:p w14:paraId="1BAA9D30">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sz w:val="32"/>
          <w:szCs w:val="32"/>
          <w:u w:val="none"/>
        </w:rPr>
      </w:pPr>
    </w:p>
    <w:p w14:paraId="06642D6B">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sz w:val="32"/>
          <w:szCs w:val="32"/>
          <w:u w:val="none"/>
        </w:rPr>
      </w:pPr>
    </w:p>
    <w:p w14:paraId="07D33E5B">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sz w:val="32"/>
          <w:szCs w:val="32"/>
          <w:u w:val="none"/>
        </w:rPr>
      </w:pPr>
    </w:p>
    <w:p w14:paraId="289D201D">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sz w:val="32"/>
          <w:szCs w:val="32"/>
          <w:u w:val="none"/>
        </w:rPr>
      </w:pPr>
    </w:p>
    <w:p w14:paraId="1DB80CE6">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sz w:val="32"/>
          <w:szCs w:val="32"/>
          <w:u w:val="none"/>
        </w:rPr>
        <w:sectPr>
          <w:pgSz w:w="11906" w:h="16838"/>
          <w:pgMar w:top="2098" w:right="1531" w:bottom="1984" w:left="1531" w:header="851" w:footer="1417" w:gutter="0"/>
          <w:pgNumType w:fmt="decimal"/>
          <w:cols w:space="0" w:num="1"/>
          <w:titlePg/>
          <w:docGrid w:type="linesAndChars" w:linePitch="579" w:charSpace="3686"/>
        </w:sectPr>
      </w:pPr>
    </w:p>
    <w:p w14:paraId="5EBE9139">
      <w:pPr>
        <w:keepNext w:val="0"/>
        <w:keepLines w:val="0"/>
        <w:pageBreakBefore w:val="0"/>
        <w:widowControl w:val="0"/>
        <w:kinsoku/>
        <w:wordWrap/>
        <w:overflowPunct/>
        <w:topLinePunct w:val="0"/>
        <w:autoSpaceDE/>
        <w:autoSpaceDN/>
        <w:bidi w:val="0"/>
        <w:adjustRightInd/>
        <w:snapToGrid/>
        <w:spacing w:line="600" w:lineRule="exact"/>
        <w:textAlignment w:val="auto"/>
        <w:rPr>
          <w:rFonts w:ascii="黑体" w:hAnsi="黑体" w:eastAsia="黑体" w:cs="黑体"/>
          <w:bCs/>
          <w:spacing w:val="6"/>
          <w:sz w:val="32"/>
          <w:szCs w:val="32"/>
          <w:u w:val="none"/>
        </w:rPr>
      </w:pPr>
      <w:r>
        <w:rPr>
          <w:rFonts w:hint="eastAsia" w:ascii="黑体" w:hAnsi="黑体" w:eastAsia="黑体" w:cs="黑体"/>
          <w:sz w:val="32"/>
          <w:szCs w:val="32"/>
          <w:u w:val="none"/>
        </w:rPr>
        <w:t>榜单</w:t>
      </w:r>
      <w:r>
        <w:rPr>
          <w:rFonts w:hint="eastAsia" w:ascii="黑体" w:hAnsi="黑体" w:eastAsia="黑体" w:cs="黑体"/>
          <w:sz w:val="32"/>
          <w:szCs w:val="32"/>
          <w:u w:val="none"/>
          <w:lang w:eastAsia="zh-CN"/>
        </w:rPr>
        <w:t>三</w:t>
      </w:r>
      <w:r>
        <w:rPr>
          <w:rFonts w:hint="eastAsia" w:ascii="黑体" w:hAnsi="黑体" w:eastAsia="黑体" w:cs="黑体"/>
          <w:sz w:val="32"/>
          <w:szCs w:val="32"/>
          <w:u w:val="none"/>
        </w:rPr>
        <w:t>：自感知自决策新一代智能刀具系统研制及应用（指南代码：</w:t>
      </w:r>
      <w:r>
        <w:rPr>
          <w:rFonts w:ascii="黑体" w:hAnsi="黑体" w:eastAsia="黑体" w:cs="黑体"/>
          <w:sz w:val="32"/>
          <w:szCs w:val="32"/>
          <w:u w:val="none"/>
        </w:rPr>
        <w:t>202</w:t>
      </w:r>
      <w:r>
        <w:rPr>
          <w:rFonts w:hint="eastAsia" w:ascii="黑体" w:hAnsi="黑体" w:eastAsia="黑体" w:cs="黑体"/>
          <w:sz w:val="32"/>
          <w:szCs w:val="32"/>
          <w:u w:val="none"/>
          <w:lang w:val="en-US" w:eastAsia="zh-CN"/>
        </w:rPr>
        <w:t>6</w:t>
      </w:r>
      <w:r>
        <w:rPr>
          <w:rFonts w:hint="eastAsia" w:ascii="黑体" w:hAnsi="黑体" w:eastAsia="黑体" w:cs="黑体"/>
          <w:szCs w:val="32"/>
          <w:u w:val="none"/>
          <w:lang w:val="en-US" w:eastAsia="zh-CN"/>
        </w:rPr>
        <w:t>HZ0123</w:t>
      </w:r>
      <w:r>
        <w:rPr>
          <w:rFonts w:hint="eastAsia" w:ascii="黑体" w:hAnsi="黑体" w:eastAsia="黑体" w:cs="黑体"/>
          <w:sz w:val="32"/>
          <w:szCs w:val="32"/>
          <w:u w:val="none"/>
        </w:rPr>
        <w:t>）</w:t>
      </w:r>
    </w:p>
    <w:tbl>
      <w:tblPr>
        <w:tblStyle w:val="12"/>
        <w:tblW w:w="853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Layout w:type="fixed"/>
        <w:tblCellMar>
          <w:top w:w="57" w:type="dxa"/>
          <w:left w:w="57" w:type="dxa"/>
          <w:bottom w:w="57" w:type="dxa"/>
          <w:right w:w="57" w:type="dxa"/>
        </w:tblCellMar>
      </w:tblPr>
      <w:tblGrid>
        <w:gridCol w:w="1036"/>
        <w:gridCol w:w="596"/>
        <w:gridCol w:w="4210"/>
        <w:gridCol w:w="14"/>
        <w:gridCol w:w="2648"/>
        <w:gridCol w:w="30"/>
      </w:tblGrid>
      <w:tr w14:paraId="5BFF43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gridAfter w:val="1"/>
          <w:wAfter w:w="30" w:type="dxa"/>
          <w:trHeight w:val="567" w:hRule="atLeast"/>
          <w:jc w:val="center"/>
        </w:trPr>
        <w:tc>
          <w:tcPr>
            <w:tcW w:w="1632" w:type="dxa"/>
            <w:gridSpan w:val="2"/>
            <w:shd w:val="clear" w:color="auto" w:fill="FFFFFF"/>
            <w:noWrap w:val="0"/>
            <w:vAlign w:val="center"/>
          </w:tcPr>
          <w:p w14:paraId="2CB77D80">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重大技术需求（难题）</w:t>
            </w:r>
          </w:p>
          <w:p w14:paraId="3C2C7D9D">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题目</w:t>
            </w:r>
          </w:p>
        </w:tc>
        <w:tc>
          <w:tcPr>
            <w:tcW w:w="6872" w:type="dxa"/>
            <w:gridSpan w:val="3"/>
            <w:shd w:val="clear" w:color="auto" w:fill="FFFFFF"/>
            <w:noWrap w:val="0"/>
            <w:vAlign w:val="center"/>
          </w:tcPr>
          <w:p w14:paraId="1402BB7C">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自感知自决策新一代智能刀具系统研制及应用</w:t>
            </w:r>
          </w:p>
        </w:tc>
      </w:tr>
      <w:tr w14:paraId="22763F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gridAfter w:val="1"/>
          <w:wAfter w:w="30" w:type="dxa"/>
          <w:trHeight w:val="567" w:hRule="atLeast"/>
          <w:jc w:val="center"/>
        </w:trPr>
        <w:tc>
          <w:tcPr>
            <w:tcW w:w="1632" w:type="dxa"/>
            <w:gridSpan w:val="2"/>
            <w:shd w:val="clear" w:color="auto" w:fill="FFFFFF"/>
            <w:noWrap w:val="0"/>
            <w:vAlign w:val="center"/>
          </w:tcPr>
          <w:p w14:paraId="72306043">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所属重大</w:t>
            </w:r>
          </w:p>
          <w:p w14:paraId="6F960264">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专项</w:t>
            </w:r>
          </w:p>
        </w:tc>
        <w:tc>
          <w:tcPr>
            <w:tcW w:w="6872" w:type="dxa"/>
            <w:gridSpan w:val="3"/>
            <w:shd w:val="clear" w:color="auto" w:fill="FFFFFF"/>
            <w:noWrap w:val="0"/>
            <w:vAlign w:val="center"/>
          </w:tcPr>
          <w:p w14:paraId="247EAE4D">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hint="eastAsia" w:ascii="仿宋_GB2312" w:hAnsi="仿宋_GB2312" w:eastAsia="仿宋_GB2312" w:cs="仿宋_GB2312"/>
                <w:sz w:val="24"/>
                <w:szCs w:val="24"/>
                <w:u w:val="none"/>
              </w:rPr>
            </w:pPr>
            <w:r>
              <w:rPr>
                <w:rFonts w:hint="eastAsia" w:ascii="仿宋_GB2312" w:hAnsi="仿宋_GB2312" w:cs="仿宋_GB2312"/>
                <w:sz w:val="24"/>
                <w:szCs w:val="24"/>
                <w:u w:val="none"/>
                <w:lang w:eastAsia="zh-CN"/>
              </w:rPr>
              <w:t>关键基础核心零部件</w:t>
            </w:r>
          </w:p>
        </w:tc>
      </w:tr>
      <w:tr w14:paraId="0795DA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gridAfter w:val="1"/>
          <w:wAfter w:w="30" w:type="dxa"/>
          <w:trHeight w:val="567" w:hRule="atLeast"/>
          <w:jc w:val="center"/>
        </w:trPr>
        <w:tc>
          <w:tcPr>
            <w:tcW w:w="1632" w:type="dxa"/>
            <w:gridSpan w:val="2"/>
            <w:shd w:val="clear" w:color="auto" w:fill="FFFFFF"/>
            <w:noWrap w:val="0"/>
            <w:vAlign w:val="center"/>
          </w:tcPr>
          <w:p w14:paraId="78412B45">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所属行业</w:t>
            </w:r>
          </w:p>
          <w:p w14:paraId="645B5D14">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领域</w:t>
            </w:r>
          </w:p>
        </w:tc>
        <w:tc>
          <w:tcPr>
            <w:tcW w:w="6872" w:type="dxa"/>
            <w:gridSpan w:val="3"/>
            <w:shd w:val="clear" w:color="auto" w:fill="FFFFFF"/>
            <w:noWrap w:val="0"/>
            <w:vAlign w:val="center"/>
          </w:tcPr>
          <w:p w14:paraId="4D0A7C65">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高端装备制造</w:t>
            </w:r>
          </w:p>
        </w:tc>
      </w:tr>
      <w:tr w14:paraId="607E32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gridAfter w:val="1"/>
          <w:wAfter w:w="30" w:type="dxa"/>
          <w:trHeight w:val="412" w:hRule="atLeast"/>
          <w:jc w:val="center"/>
        </w:trPr>
        <w:tc>
          <w:tcPr>
            <w:tcW w:w="1632" w:type="dxa"/>
            <w:gridSpan w:val="2"/>
            <w:shd w:val="clear" w:color="auto" w:fill="FFFFFF"/>
            <w:noWrap w:val="0"/>
            <w:vAlign w:val="center"/>
          </w:tcPr>
          <w:p w14:paraId="5BFE966B">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技术难题</w:t>
            </w:r>
          </w:p>
          <w:p w14:paraId="4AF414C9">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性质</w:t>
            </w:r>
          </w:p>
        </w:tc>
        <w:tc>
          <w:tcPr>
            <w:tcW w:w="6872" w:type="dxa"/>
            <w:gridSpan w:val="3"/>
            <w:shd w:val="clear" w:color="auto" w:fill="FFFFFF"/>
            <w:noWrap w:val="0"/>
            <w:vAlign w:val="center"/>
          </w:tcPr>
          <w:p w14:paraId="31B60E65">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 xml:space="preserve">☑ 需要外部科研力量帮助解决 □ 企业依靠自身力量能解决 </w:t>
            </w:r>
          </w:p>
        </w:tc>
      </w:tr>
      <w:tr w14:paraId="777453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gridAfter w:val="1"/>
          <w:wAfter w:w="30" w:type="dxa"/>
          <w:trHeight w:val="439" w:hRule="atLeast"/>
          <w:jc w:val="center"/>
        </w:trPr>
        <w:tc>
          <w:tcPr>
            <w:tcW w:w="8504" w:type="dxa"/>
            <w:gridSpan w:val="5"/>
            <w:shd w:val="clear" w:color="auto" w:fill="FFFFFF"/>
            <w:noWrap w:val="0"/>
            <w:vAlign w:val="center"/>
          </w:tcPr>
          <w:p w14:paraId="0B25BC5C">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hint="eastAsia" w:ascii="仿宋_GB2312" w:hAnsi="仿宋_GB2312" w:eastAsia="仿宋_GB2312" w:cs="仿宋_GB2312"/>
                <w:b/>
                <w:sz w:val="24"/>
                <w:szCs w:val="24"/>
                <w:u w:val="none"/>
              </w:rPr>
            </w:pPr>
            <w:r>
              <w:rPr>
                <w:rFonts w:hint="eastAsia" w:ascii="仿宋_GB2312" w:hAnsi="仿宋_GB2312" w:eastAsia="仿宋_GB2312" w:cs="仿宋_GB2312"/>
                <w:b/>
                <w:sz w:val="24"/>
                <w:szCs w:val="24"/>
                <w:u w:val="none"/>
              </w:rPr>
              <w:t>揭榜方须完成或满足的内容</w:t>
            </w:r>
          </w:p>
        </w:tc>
      </w:tr>
      <w:tr w14:paraId="07BD40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gridAfter w:val="1"/>
          <w:wAfter w:w="30" w:type="dxa"/>
          <w:trHeight w:val="840" w:hRule="atLeast"/>
          <w:jc w:val="center"/>
        </w:trPr>
        <w:tc>
          <w:tcPr>
            <w:tcW w:w="1036" w:type="dxa"/>
            <w:shd w:val="clear" w:color="auto" w:fill="FFFFFF"/>
            <w:noWrap w:val="0"/>
            <w:vAlign w:val="center"/>
          </w:tcPr>
          <w:p w14:paraId="0F10CDBD">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技术难题和攻关内容（</w:t>
            </w:r>
            <w:r>
              <w:rPr>
                <w:rFonts w:hint="eastAsia" w:ascii="仿宋_GB2312" w:hAnsi="仿宋_GB2312" w:eastAsia="仿宋_GB2312" w:cs="仿宋_GB2312"/>
                <w:spacing w:val="-11"/>
                <w:sz w:val="24"/>
                <w:szCs w:val="24"/>
                <w:u w:val="none"/>
              </w:rPr>
              <w:t>限500</w:t>
            </w:r>
          </w:p>
          <w:p w14:paraId="570D3450">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字以内）</w:t>
            </w:r>
          </w:p>
        </w:tc>
        <w:tc>
          <w:tcPr>
            <w:tcW w:w="7468" w:type="dxa"/>
            <w:gridSpan w:val="4"/>
            <w:shd w:val="clear" w:color="auto" w:fill="FFFFFF"/>
            <w:noWrap w:val="0"/>
            <w:vAlign w:val="center"/>
          </w:tcPr>
          <w:p w14:paraId="615F6760">
            <w:pPr>
              <w:keepNext w:val="0"/>
              <w:keepLines w:val="0"/>
              <w:pageBreakBefore w:val="0"/>
              <w:widowControl w:val="0"/>
              <w:kinsoku/>
              <w:wordWrap/>
              <w:overflowPunct/>
              <w:topLinePunct w:val="0"/>
              <w:autoSpaceDE/>
              <w:autoSpaceDN/>
              <w:bidi w:val="0"/>
              <w:adjustRightInd w:val="0"/>
              <w:snapToGrid w:val="0"/>
              <w:spacing w:line="500" w:lineRule="exact"/>
              <w:ind w:firstLine="514" w:firstLineChars="200"/>
              <w:jc w:val="both"/>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航空航天、汽车及高端装备等领域关键零件广泛采用高温合金、钛合金等难加工材料，其加工精度、表面完整性和质量一致性直接影响发动机叶盘、涡轮增压器叶轮等核心部件的服役寿命与安全可靠性。此类材料切削过程中存在刀具快速磨损、崩刃及颤振等问题，刀具状态和加工质量易发生突变。实现其高效高精加工面临以下技术难点：近切削区力、热、振动等多源信息难以实时获取；多物理场耦合下刀具磨损与加工质量演化难以准确预测；精度、效率、稳定性与刀具寿命等多目标相互冲突，难以自主决策；刀具结构难以由目标性能反向设计；各环节缺乏软件集成与工程验证，难以形成闭环。为此，拟开展以下技术攻关：</w:t>
            </w:r>
          </w:p>
          <w:p w14:paraId="03364139">
            <w:pPr>
              <w:keepNext w:val="0"/>
              <w:keepLines w:val="0"/>
              <w:pageBreakBefore w:val="0"/>
              <w:widowControl w:val="0"/>
              <w:kinsoku/>
              <w:wordWrap/>
              <w:overflowPunct/>
              <w:topLinePunct w:val="0"/>
              <w:autoSpaceDE/>
              <w:autoSpaceDN/>
              <w:bidi w:val="0"/>
              <w:adjustRightInd w:val="0"/>
              <w:snapToGrid w:val="0"/>
              <w:spacing w:line="500" w:lineRule="exact"/>
              <w:ind w:firstLine="514" w:firstLineChars="200"/>
              <w:jc w:val="both"/>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1</w:t>
            </w:r>
            <w:r>
              <w:rPr>
                <w:rFonts w:hint="eastAsia" w:ascii="仿宋_GB2312" w:hAnsi="仿宋_GB2312" w:cs="仿宋_GB2312"/>
                <w:sz w:val="24"/>
                <w:szCs w:val="24"/>
                <w:u w:val="none"/>
                <w:lang w:eastAsia="zh-CN"/>
              </w:rPr>
              <w:t>.</w:t>
            </w:r>
            <w:r>
              <w:rPr>
                <w:rFonts w:hint="eastAsia" w:ascii="仿宋_GB2312" w:hAnsi="仿宋_GB2312" w:eastAsia="仿宋_GB2312" w:cs="仿宋_GB2312"/>
                <w:sz w:val="24"/>
                <w:szCs w:val="24"/>
                <w:u w:val="none"/>
              </w:rPr>
              <w:t>多模态传感器与刀具一体化设计技术。研究传感器在刀具内的布置与嵌入集成方法，在保证刀具刚度和切削性能的前提下，实时采集切削力、切削热和振动信息。</w:t>
            </w:r>
          </w:p>
          <w:p w14:paraId="04F2607A">
            <w:pPr>
              <w:keepNext w:val="0"/>
              <w:keepLines w:val="0"/>
              <w:pageBreakBefore w:val="0"/>
              <w:widowControl w:val="0"/>
              <w:kinsoku/>
              <w:wordWrap/>
              <w:overflowPunct/>
              <w:topLinePunct w:val="0"/>
              <w:autoSpaceDE/>
              <w:autoSpaceDN/>
              <w:bidi w:val="0"/>
              <w:adjustRightInd w:val="0"/>
              <w:snapToGrid w:val="0"/>
              <w:spacing w:line="500" w:lineRule="exact"/>
              <w:ind w:firstLine="514" w:firstLineChars="200"/>
              <w:jc w:val="both"/>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2</w:t>
            </w:r>
            <w:r>
              <w:rPr>
                <w:rFonts w:hint="eastAsia" w:ascii="仿宋_GB2312" w:hAnsi="仿宋_GB2312" w:cs="仿宋_GB2312"/>
                <w:sz w:val="24"/>
                <w:szCs w:val="24"/>
                <w:u w:val="none"/>
                <w:lang w:eastAsia="zh-CN"/>
              </w:rPr>
              <w:t>.</w:t>
            </w:r>
            <w:r>
              <w:rPr>
                <w:rFonts w:hint="eastAsia" w:ascii="仿宋_GB2312" w:hAnsi="仿宋_GB2312" w:eastAsia="仿宋_GB2312" w:cs="仿宋_GB2312"/>
                <w:sz w:val="24"/>
                <w:szCs w:val="24"/>
                <w:u w:val="none"/>
              </w:rPr>
              <w:t>多物理场本构-神经网络耦合建模技术。将材料本构及热-力-振动耦合机理与神经网络结合，融合感知数据，建立刀具磨损与加工质量演化预测模型。</w:t>
            </w:r>
          </w:p>
          <w:p w14:paraId="597E18C7">
            <w:pPr>
              <w:keepNext w:val="0"/>
              <w:keepLines w:val="0"/>
              <w:pageBreakBefore w:val="0"/>
              <w:widowControl w:val="0"/>
              <w:kinsoku/>
              <w:wordWrap/>
              <w:overflowPunct/>
              <w:topLinePunct w:val="0"/>
              <w:autoSpaceDE/>
              <w:autoSpaceDN/>
              <w:bidi w:val="0"/>
              <w:adjustRightInd w:val="0"/>
              <w:snapToGrid w:val="0"/>
              <w:spacing w:line="500" w:lineRule="exact"/>
              <w:ind w:firstLine="514" w:firstLineChars="200"/>
              <w:jc w:val="both"/>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3</w:t>
            </w:r>
            <w:r>
              <w:rPr>
                <w:rFonts w:hint="eastAsia" w:ascii="仿宋_GB2312" w:hAnsi="仿宋_GB2312" w:cs="仿宋_GB2312"/>
                <w:sz w:val="24"/>
                <w:szCs w:val="24"/>
                <w:u w:val="none"/>
                <w:lang w:val="en-US" w:eastAsia="zh-CN"/>
              </w:rPr>
              <w:t>.</w:t>
            </w:r>
            <w:r>
              <w:rPr>
                <w:rFonts w:hint="eastAsia" w:ascii="仿宋_GB2312" w:hAnsi="仿宋_GB2312" w:eastAsia="仿宋_GB2312" w:cs="仿宋_GB2312"/>
                <w:sz w:val="24"/>
                <w:szCs w:val="24"/>
                <w:u w:val="none"/>
              </w:rPr>
              <w:t>多目标优化与智能自主决策技术。以精度、效率、稳定性和刀具寿命为目标，建立多目标协同优化方法，实现工艺参数在线自主决策。</w:t>
            </w:r>
          </w:p>
          <w:p w14:paraId="1F13F6BC">
            <w:pPr>
              <w:keepNext w:val="0"/>
              <w:keepLines w:val="0"/>
              <w:pageBreakBefore w:val="0"/>
              <w:widowControl w:val="0"/>
              <w:kinsoku/>
              <w:wordWrap/>
              <w:overflowPunct/>
              <w:topLinePunct w:val="0"/>
              <w:autoSpaceDE/>
              <w:autoSpaceDN/>
              <w:bidi w:val="0"/>
              <w:adjustRightInd w:val="0"/>
              <w:snapToGrid w:val="0"/>
              <w:spacing w:line="500" w:lineRule="exact"/>
              <w:ind w:firstLine="514" w:firstLineChars="200"/>
              <w:jc w:val="both"/>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4</w:t>
            </w:r>
            <w:r>
              <w:rPr>
                <w:rFonts w:hint="eastAsia" w:ascii="仿宋_GB2312" w:hAnsi="仿宋_GB2312" w:cs="仿宋_GB2312"/>
                <w:sz w:val="24"/>
                <w:szCs w:val="24"/>
                <w:u w:val="none"/>
                <w:lang w:eastAsia="zh-CN"/>
              </w:rPr>
              <w:t>.</w:t>
            </w:r>
            <w:r>
              <w:rPr>
                <w:rFonts w:hint="eastAsia" w:ascii="仿宋_GB2312" w:hAnsi="仿宋_GB2312" w:eastAsia="仿宋_GB2312" w:cs="仿宋_GB2312"/>
                <w:sz w:val="24"/>
                <w:szCs w:val="24"/>
                <w:u w:val="none"/>
              </w:rPr>
              <w:t>性能-结构逆向映射迭代优化设计技术。建立加工性能与刀具结构参数的逆向映射关系，通过迭代优化由目标性能反推刀具结构。</w:t>
            </w:r>
          </w:p>
          <w:p w14:paraId="109B91AF">
            <w:pPr>
              <w:keepNext w:val="0"/>
              <w:keepLines w:val="0"/>
              <w:pageBreakBefore w:val="0"/>
              <w:widowControl w:val="0"/>
              <w:kinsoku/>
              <w:wordWrap/>
              <w:overflowPunct/>
              <w:topLinePunct w:val="0"/>
              <w:autoSpaceDE/>
              <w:autoSpaceDN/>
              <w:bidi w:val="0"/>
              <w:adjustRightInd w:val="0"/>
              <w:snapToGrid w:val="0"/>
              <w:spacing w:line="500" w:lineRule="exact"/>
              <w:ind w:firstLine="514" w:firstLineChars="200"/>
              <w:jc w:val="both"/>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5</w:t>
            </w:r>
            <w:r>
              <w:rPr>
                <w:rFonts w:hint="eastAsia" w:ascii="仿宋_GB2312" w:hAnsi="仿宋_GB2312" w:cs="仿宋_GB2312"/>
                <w:sz w:val="24"/>
                <w:szCs w:val="24"/>
                <w:u w:val="none"/>
                <w:lang w:val="en-US" w:eastAsia="zh-CN"/>
              </w:rPr>
              <w:t>.</w:t>
            </w:r>
            <w:r>
              <w:rPr>
                <w:rFonts w:hint="eastAsia" w:ascii="仿宋_GB2312" w:hAnsi="仿宋_GB2312" w:eastAsia="仿宋_GB2312" w:cs="仿宋_GB2312"/>
                <w:sz w:val="24"/>
                <w:szCs w:val="24"/>
                <w:u w:val="none"/>
              </w:rPr>
              <w:t>智能刀具软件开发及系统应用验证技术。开发集感知、预测与决策于一体的智能刀具软件，在叶盘、叶轮等典型零件加工中开展应用验证。</w:t>
            </w:r>
          </w:p>
        </w:tc>
      </w:tr>
      <w:tr w14:paraId="61BF7E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gridAfter w:val="1"/>
          <w:wAfter w:w="30" w:type="dxa"/>
          <w:trHeight w:val="1322" w:hRule="atLeast"/>
          <w:jc w:val="center"/>
        </w:trPr>
        <w:tc>
          <w:tcPr>
            <w:tcW w:w="1036" w:type="dxa"/>
            <w:shd w:val="clear" w:color="auto" w:fill="FFFFFF"/>
            <w:noWrap w:val="0"/>
            <w:vAlign w:val="center"/>
          </w:tcPr>
          <w:p w14:paraId="34896938">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技术攻关后希望达到的预期技术目标（限500字以内）</w:t>
            </w:r>
          </w:p>
        </w:tc>
        <w:tc>
          <w:tcPr>
            <w:tcW w:w="7468" w:type="dxa"/>
            <w:gridSpan w:val="4"/>
            <w:shd w:val="clear" w:color="auto" w:fill="FFFFFF"/>
            <w:noWrap w:val="0"/>
            <w:vAlign w:val="center"/>
          </w:tcPr>
          <w:p w14:paraId="113430BF">
            <w:pPr>
              <w:keepNext w:val="0"/>
              <w:keepLines w:val="0"/>
              <w:pageBreakBefore w:val="0"/>
              <w:widowControl w:val="0"/>
              <w:kinsoku/>
              <w:wordWrap/>
              <w:overflowPunct/>
              <w:topLinePunct w:val="0"/>
              <w:autoSpaceDE/>
              <w:autoSpaceDN/>
              <w:bidi w:val="0"/>
              <w:adjustRightInd w:val="0"/>
              <w:snapToGrid w:val="0"/>
              <w:spacing w:line="500" w:lineRule="exact"/>
              <w:ind w:firstLine="514" w:firstLineChars="200"/>
              <w:jc w:val="left"/>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b/>
                <w:bCs/>
                <w:sz w:val="24"/>
                <w:szCs w:val="24"/>
                <w:highlight w:val="none"/>
                <w:u w:val="none"/>
                <w:lang w:val="en-US" w:eastAsia="zh-CN"/>
              </w:rPr>
              <w:t>一、攻关后要求达到的技术参数</w:t>
            </w:r>
          </w:p>
          <w:p w14:paraId="231F1729">
            <w:pPr>
              <w:keepNext w:val="0"/>
              <w:keepLines w:val="0"/>
              <w:pageBreakBefore w:val="0"/>
              <w:widowControl w:val="0"/>
              <w:kinsoku/>
              <w:wordWrap/>
              <w:overflowPunct/>
              <w:topLinePunct w:val="0"/>
              <w:autoSpaceDE/>
              <w:autoSpaceDN/>
              <w:bidi w:val="0"/>
              <w:adjustRightInd w:val="0"/>
              <w:snapToGrid w:val="0"/>
              <w:spacing w:line="500" w:lineRule="exact"/>
              <w:ind w:firstLine="514" w:firstLineChars="200"/>
              <w:jc w:val="both"/>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1、面向高温合金典型车削/铣削精加工工况，研制完成一套“多模态原位监测—刀具磨损预测—实时自适应决策”于一体的智能刀具系统，形成配套监测分析与决策软件平台</w:t>
            </w:r>
            <w:r>
              <w:rPr>
                <w:rFonts w:hint="eastAsia" w:ascii="仿宋_GB2312" w:hAnsi="仿宋_GB2312" w:eastAsia="仿宋_GB2312" w:cs="仿宋_GB2312"/>
                <w:sz w:val="24"/>
                <w:szCs w:val="24"/>
                <w:u w:val="none"/>
                <w:lang w:eastAsia="zh-CN"/>
              </w:rPr>
              <w:t>，形成配套监测分析与决策软件平台，平台系统能实现与机床数控系统、信号采集系统进行双向通讯</w:t>
            </w:r>
            <w:r>
              <w:rPr>
                <w:rFonts w:hint="eastAsia" w:ascii="仿宋_GB2312" w:hAnsi="仿宋_GB2312" w:eastAsia="仿宋_GB2312" w:cs="仿宋_GB2312"/>
                <w:sz w:val="24"/>
                <w:szCs w:val="24"/>
                <w:u w:val="none"/>
              </w:rPr>
              <w:t>。</w:t>
            </w:r>
          </w:p>
          <w:p w14:paraId="08BE9830">
            <w:pPr>
              <w:keepNext w:val="0"/>
              <w:keepLines w:val="0"/>
              <w:pageBreakBefore w:val="0"/>
              <w:widowControl w:val="0"/>
              <w:kinsoku/>
              <w:wordWrap/>
              <w:overflowPunct/>
              <w:topLinePunct w:val="0"/>
              <w:autoSpaceDE/>
              <w:autoSpaceDN/>
              <w:bidi w:val="0"/>
              <w:adjustRightInd w:val="0"/>
              <w:snapToGrid w:val="0"/>
              <w:spacing w:line="500" w:lineRule="exact"/>
              <w:ind w:firstLine="514" w:firstLineChars="200"/>
              <w:jc w:val="both"/>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2、实现切削力、温度、振动等关键状态量稳定在线采集。面向高温合金铣削与车削过程，现有多源传感采集关键状态量响应时在100ms–1s，项目实施后预计实现切削力、温度、振动等多源状态量稳定在线同步采集，关键状态信号端到端响应时间≤100ms。</w:t>
            </w:r>
          </w:p>
          <w:p w14:paraId="619AE368">
            <w:pPr>
              <w:keepNext w:val="0"/>
              <w:keepLines w:val="0"/>
              <w:pageBreakBefore w:val="0"/>
              <w:widowControl w:val="0"/>
              <w:kinsoku/>
              <w:wordWrap/>
              <w:overflowPunct/>
              <w:topLinePunct w:val="0"/>
              <w:autoSpaceDE/>
              <w:autoSpaceDN/>
              <w:bidi w:val="0"/>
              <w:adjustRightInd w:val="0"/>
              <w:snapToGrid w:val="0"/>
              <w:spacing w:line="500" w:lineRule="exact"/>
              <w:ind w:firstLine="514" w:firstLineChars="200"/>
              <w:jc w:val="both"/>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3、面向高温合金加工，现有车刀在切削速度40m/min，切削深度2mm，进给量0.2mm/r工况下的有效切削距离大约320m；项目实施后，预估在相同材料、工序、质量要求和等效加工条件下，车刀平均有效切削</w:t>
            </w:r>
            <w:r>
              <w:rPr>
                <w:rFonts w:hint="eastAsia" w:ascii="仿宋_GB2312" w:hAnsi="仿宋_GB2312" w:cs="仿宋_GB2312"/>
                <w:sz w:val="24"/>
                <w:szCs w:val="24"/>
                <w:u w:val="none"/>
                <w:lang w:eastAsia="zh-CN"/>
              </w:rPr>
              <w:t>距离</w:t>
            </w:r>
            <w:r>
              <w:rPr>
                <w:rFonts w:hint="eastAsia" w:ascii="仿宋_GB2312" w:hAnsi="仿宋_GB2312" w:eastAsia="仿宋_GB2312" w:cs="仿宋_GB2312"/>
                <w:sz w:val="24"/>
                <w:szCs w:val="24"/>
                <w:u w:val="none"/>
              </w:rPr>
              <w:t>≥380m。</w:t>
            </w:r>
          </w:p>
          <w:p w14:paraId="01FA410C">
            <w:pPr>
              <w:keepNext w:val="0"/>
              <w:keepLines w:val="0"/>
              <w:pageBreakBefore w:val="0"/>
              <w:widowControl w:val="0"/>
              <w:kinsoku/>
              <w:wordWrap/>
              <w:overflowPunct/>
              <w:topLinePunct w:val="0"/>
              <w:autoSpaceDE/>
              <w:autoSpaceDN/>
              <w:bidi w:val="0"/>
              <w:adjustRightInd w:val="0"/>
              <w:snapToGrid w:val="0"/>
              <w:spacing w:line="500" w:lineRule="exact"/>
              <w:ind w:firstLine="514" w:firstLineChars="200"/>
              <w:jc w:val="both"/>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4、面向高温合金加工，现有铣刀在切削速度45m/min，切削深度2.5mm，进给量0.06mm/z工况下的有效切削距离120m；项目实施后，预估在相同材料、工序、质量要求和等效加工条件下，铣刀平均有效切削距离≥150m。</w:t>
            </w:r>
          </w:p>
          <w:p w14:paraId="7C91A4F1">
            <w:pPr>
              <w:keepNext w:val="0"/>
              <w:keepLines w:val="0"/>
              <w:pageBreakBefore w:val="0"/>
              <w:widowControl w:val="0"/>
              <w:kinsoku/>
              <w:wordWrap/>
              <w:overflowPunct/>
              <w:topLinePunct w:val="0"/>
              <w:autoSpaceDE/>
              <w:autoSpaceDN/>
              <w:bidi w:val="0"/>
              <w:adjustRightInd w:val="0"/>
              <w:snapToGrid w:val="0"/>
              <w:spacing w:line="500" w:lineRule="exact"/>
              <w:ind w:firstLine="514" w:firstLineChars="200"/>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b/>
                <w:bCs/>
                <w:sz w:val="24"/>
                <w:szCs w:val="24"/>
                <w:highlight w:val="none"/>
                <w:u w:val="none"/>
                <w:lang w:val="en-US" w:eastAsia="zh-CN"/>
              </w:rPr>
              <w:t>二、成果指标</w:t>
            </w:r>
          </w:p>
          <w:p w14:paraId="43BB619F">
            <w:pPr>
              <w:keepNext w:val="0"/>
              <w:keepLines w:val="0"/>
              <w:pageBreakBefore w:val="0"/>
              <w:widowControl w:val="0"/>
              <w:kinsoku/>
              <w:wordWrap/>
              <w:overflowPunct/>
              <w:topLinePunct w:val="0"/>
              <w:autoSpaceDE/>
              <w:autoSpaceDN/>
              <w:bidi w:val="0"/>
              <w:adjustRightInd w:val="0"/>
              <w:snapToGrid w:val="0"/>
              <w:spacing w:line="500" w:lineRule="exact"/>
              <w:ind w:firstLine="514" w:firstLineChars="200"/>
              <w:jc w:val="both"/>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申请发明专利4件，发表论文4篇</w:t>
            </w:r>
            <w:r>
              <w:rPr>
                <w:rFonts w:hint="eastAsia" w:ascii="仿宋_GB2312" w:hAnsi="仿宋_GB2312" w:eastAsia="仿宋_GB2312" w:cs="仿宋_GB2312"/>
                <w:sz w:val="24"/>
                <w:szCs w:val="24"/>
                <w:u w:val="none"/>
                <w:lang w:eastAsia="zh-CN"/>
              </w:rPr>
              <w:t>，</w:t>
            </w:r>
            <w:r>
              <w:rPr>
                <w:rFonts w:hint="eastAsia" w:ascii="仿宋_GB2312" w:hAnsi="仿宋_GB2312" w:eastAsia="仿宋_GB2312" w:cs="仿宋_GB2312"/>
                <w:sz w:val="24"/>
                <w:szCs w:val="24"/>
                <w:u w:val="none"/>
              </w:rPr>
              <w:t>申请软件著作权登记2件。</w:t>
            </w:r>
          </w:p>
        </w:tc>
      </w:tr>
      <w:tr w14:paraId="1036B4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gridAfter w:val="1"/>
          <w:wAfter w:w="30" w:type="dxa"/>
          <w:trHeight w:val="863" w:hRule="atLeast"/>
          <w:jc w:val="center"/>
        </w:trPr>
        <w:tc>
          <w:tcPr>
            <w:tcW w:w="1036" w:type="dxa"/>
            <w:shd w:val="clear" w:color="auto" w:fill="FFFFFF"/>
            <w:noWrap w:val="0"/>
            <w:vAlign w:val="center"/>
          </w:tcPr>
          <w:p w14:paraId="798055FA">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时限要求</w:t>
            </w:r>
          </w:p>
        </w:tc>
        <w:tc>
          <w:tcPr>
            <w:tcW w:w="7468" w:type="dxa"/>
            <w:gridSpan w:val="4"/>
            <w:shd w:val="clear" w:color="auto" w:fill="FFFFFF"/>
            <w:noWrap w:val="0"/>
            <w:vAlign w:val="center"/>
          </w:tcPr>
          <w:p w14:paraId="3CBF67D1">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lang w:bidi="ar"/>
              </w:rPr>
              <w:t>2029年12月前完成</w:t>
            </w:r>
          </w:p>
        </w:tc>
      </w:tr>
      <w:tr w14:paraId="5681F9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gridAfter w:val="1"/>
          <w:wAfter w:w="30" w:type="dxa"/>
          <w:trHeight w:val="412" w:hRule="atLeast"/>
          <w:jc w:val="center"/>
        </w:trPr>
        <w:tc>
          <w:tcPr>
            <w:tcW w:w="8504" w:type="dxa"/>
            <w:gridSpan w:val="5"/>
            <w:shd w:val="clear" w:color="auto" w:fill="FFFFFF"/>
            <w:noWrap w:val="0"/>
            <w:vAlign w:val="center"/>
          </w:tcPr>
          <w:p w14:paraId="42CDD117">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以下信息供揭榜方参考</w:t>
            </w:r>
          </w:p>
          <w:p w14:paraId="7ED2F74F">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（揭榜方与福建省技术需求企业联合申报项目，技术需求企业也可以是榜单之外的同行企业）</w:t>
            </w:r>
          </w:p>
        </w:tc>
      </w:tr>
      <w:tr w14:paraId="2AD5A2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gridAfter w:val="1"/>
          <w:wAfter w:w="30" w:type="dxa"/>
          <w:trHeight w:val="412" w:hRule="atLeast"/>
          <w:jc w:val="center"/>
        </w:trPr>
        <w:tc>
          <w:tcPr>
            <w:tcW w:w="1632" w:type="dxa"/>
            <w:gridSpan w:val="2"/>
            <w:vMerge w:val="restart"/>
            <w:shd w:val="clear" w:color="auto" w:fill="FFFFFF"/>
            <w:noWrap w:val="0"/>
            <w:vAlign w:val="center"/>
          </w:tcPr>
          <w:p w14:paraId="5D496E15">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技术需求牵头企业（非排他性，可以多个）</w:t>
            </w:r>
          </w:p>
        </w:tc>
        <w:tc>
          <w:tcPr>
            <w:tcW w:w="4210" w:type="dxa"/>
            <w:vMerge w:val="restart"/>
            <w:shd w:val="clear" w:color="auto" w:fill="FFFFFF"/>
            <w:noWrap w:val="0"/>
            <w:vAlign w:val="center"/>
          </w:tcPr>
          <w:p w14:paraId="26A0F7B9">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厦门金鹭特种合金有限公司</w:t>
            </w:r>
          </w:p>
        </w:tc>
        <w:tc>
          <w:tcPr>
            <w:tcW w:w="2662" w:type="dxa"/>
            <w:gridSpan w:val="2"/>
            <w:shd w:val="clear" w:color="auto" w:fill="FFFFFF"/>
            <w:noWrap w:val="0"/>
            <w:vAlign w:val="center"/>
          </w:tcPr>
          <w:p w14:paraId="3CBC73B0">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单位性质</w:t>
            </w:r>
          </w:p>
        </w:tc>
      </w:tr>
      <w:tr w14:paraId="2EC4B3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gridAfter w:val="1"/>
          <w:wAfter w:w="30" w:type="dxa"/>
          <w:trHeight w:val="412" w:hRule="atLeast"/>
          <w:jc w:val="center"/>
        </w:trPr>
        <w:tc>
          <w:tcPr>
            <w:tcW w:w="1632" w:type="dxa"/>
            <w:gridSpan w:val="2"/>
            <w:vMerge w:val="continue"/>
            <w:shd w:val="clear" w:color="auto" w:fill="FFFFFF"/>
            <w:noWrap w:val="0"/>
            <w:vAlign w:val="center"/>
          </w:tcPr>
          <w:p w14:paraId="0E778F5A">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hint="eastAsia" w:ascii="仿宋_GB2312" w:hAnsi="仿宋_GB2312" w:eastAsia="仿宋_GB2312" w:cs="仿宋_GB2312"/>
                <w:sz w:val="24"/>
                <w:szCs w:val="24"/>
                <w:u w:val="none"/>
              </w:rPr>
            </w:pPr>
          </w:p>
        </w:tc>
        <w:tc>
          <w:tcPr>
            <w:tcW w:w="4210" w:type="dxa"/>
            <w:vMerge w:val="continue"/>
            <w:shd w:val="clear" w:color="auto" w:fill="FFFFFF"/>
            <w:noWrap w:val="0"/>
            <w:vAlign w:val="center"/>
          </w:tcPr>
          <w:p w14:paraId="39907F67">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hint="eastAsia" w:ascii="仿宋_GB2312" w:hAnsi="仿宋_GB2312" w:eastAsia="仿宋_GB2312" w:cs="仿宋_GB2312"/>
                <w:sz w:val="24"/>
                <w:szCs w:val="24"/>
                <w:u w:val="none"/>
              </w:rPr>
            </w:pPr>
          </w:p>
        </w:tc>
        <w:tc>
          <w:tcPr>
            <w:tcW w:w="2662" w:type="dxa"/>
            <w:gridSpan w:val="2"/>
            <w:shd w:val="clear" w:color="auto" w:fill="FFFFFF"/>
            <w:noWrap w:val="0"/>
            <w:vAlign w:val="center"/>
          </w:tcPr>
          <w:p w14:paraId="54BC89FC">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☑龙头企业 ☑骨干企业（☑高新技术企业、☑科技型企业）</w:t>
            </w:r>
          </w:p>
        </w:tc>
      </w:tr>
      <w:tr w14:paraId="6EAE3F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632" w:type="dxa"/>
            <w:gridSpan w:val="2"/>
            <w:shd w:val="clear" w:color="auto" w:fill="FFFFFF"/>
            <w:noWrap w:val="0"/>
            <w:vAlign w:val="center"/>
          </w:tcPr>
          <w:p w14:paraId="0E198B2F">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技术需求牵头企业联系方式</w:t>
            </w:r>
          </w:p>
        </w:tc>
        <w:tc>
          <w:tcPr>
            <w:tcW w:w="6902" w:type="dxa"/>
            <w:gridSpan w:val="4"/>
            <w:shd w:val="clear" w:color="auto" w:fill="FFFFFF"/>
            <w:noWrap w:val="0"/>
            <w:vAlign w:val="center"/>
          </w:tcPr>
          <w:p w14:paraId="342227F7">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手机：18606093927 电话：0592-5766504</w:t>
            </w:r>
          </w:p>
        </w:tc>
      </w:tr>
      <w:tr w14:paraId="08CA68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036" w:type="dxa"/>
            <w:vMerge w:val="restart"/>
            <w:shd w:val="clear" w:color="auto" w:fill="FFFFFF"/>
            <w:noWrap w:val="0"/>
            <w:vAlign w:val="center"/>
          </w:tcPr>
          <w:p w14:paraId="7975B12B">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有共同技术需求的同行企业（非排他性）</w:t>
            </w:r>
          </w:p>
        </w:tc>
        <w:tc>
          <w:tcPr>
            <w:tcW w:w="596" w:type="dxa"/>
            <w:shd w:val="clear" w:color="auto" w:fill="FFFFFF"/>
            <w:noWrap w:val="0"/>
            <w:vAlign w:val="center"/>
          </w:tcPr>
          <w:p w14:paraId="0E463E6B">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序号</w:t>
            </w:r>
          </w:p>
        </w:tc>
        <w:tc>
          <w:tcPr>
            <w:tcW w:w="4224" w:type="dxa"/>
            <w:gridSpan w:val="2"/>
            <w:shd w:val="clear" w:color="auto" w:fill="FFFFFF"/>
            <w:noWrap w:val="0"/>
            <w:vAlign w:val="center"/>
          </w:tcPr>
          <w:p w14:paraId="4DF2EB65">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单位名称</w:t>
            </w:r>
          </w:p>
        </w:tc>
        <w:tc>
          <w:tcPr>
            <w:tcW w:w="2678" w:type="dxa"/>
            <w:gridSpan w:val="2"/>
            <w:shd w:val="clear" w:color="auto" w:fill="FFFFFF"/>
            <w:noWrap w:val="0"/>
            <w:vAlign w:val="center"/>
          </w:tcPr>
          <w:p w14:paraId="493DBFCD">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单位性质</w:t>
            </w:r>
          </w:p>
        </w:tc>
      </w:tr>
      <w:tr w14:paraId="5BD211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036" w:type="dxa"/>
            <w:vMerge w:val="continue"/>
            <w:shd w:val="clear" w:color="auto" w:fill="FFFFFF"/>
            <w:noWrap w:val="0"/>
            <w:vAlign w:val="center"/>
          </w:tcPr>
          <w:p w14:paraId="67F0B4BB">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hint="eastAsia" w:ascii="仿宋_GB2312" w:hAnsi="仿宋_GB2312" w:eastAsia="仿宋_GB2312" w:cs="仿宋_GB2312"/>
                <w:sz w:val="24"/>
                <w:szCs w:val="24"/>
                <w:u w:val="none"/>
              </w:rPr>
            </w:pPr>
          </w:p>
        </w:tc>
        <w:tc>
          <w:tcPr>
            <w:tcW w:w="596" w:type="dxa"/>
            <w:shd w:val="clear" w:color="auto" w:fill="FFFFFF"/>
            <w:noWrap w:val="0"/>
            <w:vAlign w:val="center"/>
          </w:tcPr>
          <w:p w14:paraId="1F87A1FC">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1</w:t>
            </w:r>
          </w:p>
        </w:tc>
        <w:tc>
          <w:tcPr>
            <w:tcW w:w="4224" w:type="dxa"/>
            <w:gridSpan w:val="2"/>
            <w:shd w:val="clear" w:color="auto" w:fill="FFFFFF"/>
            <w:noWrap w:val="0"/>
            <w:vAlign w:val="center"/>
          </w:tcPr>
          <w:p w14:paraId="23893CA2">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厦门钨业股份有限公司</w:t>
            </w:r>
          </w:p>
        </w:tc>
        <w:tc>
          <w:tcPr>
            <w:tcW w:w="2678" w:type="dxa"/>
            <w:gridSpan w:val="2"/>
            <w:shd w:val="clear" w:color="auto" w:fill="FFFFFF"/>
            <w:noWrap w:val="0"/>
            <w:vAlign w:val="center"/>
          </w:tcPr>
          <w:p w14:paraId="5A251342">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☑龙头企业 □骨干企业 （☑高新技术企业、☑科技型企业）</w:t>
            </w:r>
          </w:p>
        </w:tc>
      </w:tr>
      <w:tr w14:paraId="60AB17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036" w:type="dxa"/>
            <w:vMerge w:val="continue"/>
            <w:shd w:val="clear" w:color="auto" w:fill="FFFFFF"/>
            <w:noWrap w:val="0"/>
            <w:vAlign w:val="center"/>
          </w:tcPr>
          <w:p w14:paraId="41F4708A">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hint="eastAsia" w:ascii="仿宋_GB2312" w:hAnsi="仿宋_GB2312" w:eastAsia="仿宋_GB2312" w:cs="仿宋_GB2312"/>
                <w:sz w:val="24"/>
                <w:szCs w:val="24"/>
                <w:u w:val="none"/>
              </w:rPr>
            </w:pPr>
          </w:p>
        </w:tc>
        <w:tc>
          <w:tcPr>
            <w:tcW w:w="596" w:type="dxa"/>
            <w:shd w:val="clear" w:color="auto" w:fill="FFFFFF"/>
            <w:noWrap w:val="0"/>
            <w:vAlign w:val="center"/>
          </w:tcPr>
          <w:p w14:paraId="000C3B13">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2</w:t>
            </w:r>
          </w:p>
        </w:tc>
        <w:tc>
          <w:tcPr>
            <w:tcW w:w="4224" w:type="dxa"/>
            <w:gridSpan w:val="2"/>
            <w:shd w:val="clear" w:color="auto" w:fill="FFFFFF"/>
            <w:noWrap w:val="0"/>
            <w:vAlign w:val="center"/>
          </w:tcPr>
          <w:p w14:paraId="3D14C2FA">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hint="eastAsia" w:ascii="仿宋_GB2312" w:hAnsi="仿宋_GB2312" w:eastAsia="仿宋_GB2312" w:cs="仿宋_GB2312"/>
                <w:sz w:val="24"/>
                <w:szCs w:val="24"/>
                <w:u w:val="none"/>
              </w:rPr>
            </w:pPr>
          </w:p>
        </w:tc>
        <w:tc>
          <w:tcPr>
            <w:tcW w:w="2678" w:type="dxa"/>
            <w:gridSpan w:val="2"/>
            <w:shd w:val="clear" w:color="auto" w:fill="FFFFFF"/>
            <w:noWrap w:val="0"/>
            <w:vAlign w:val="center"/>
          </w:tcPr>
          <w:p w14:paraId="2CABB8DC">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□龙头企业 □骨干企业 （□高新技术企业、□科技型企业）</w:t>
            </w:r>
          </w:p>
        </w:tc>
      </w:tr>
      <w:tr w14:paraId="70A059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gridAfter w:val="1"/>
          <w:wAfter w:w="30" w:type="dxa"/>
          <w:trHeight w:val="1000" w:hRule="atLeast"/>
          <w:jc w:val="center"/>
        </w:trPr>
        <w:tc>
          <w:tcPr>
            <w:tcW w:w="1036" w:type="dxa"/>
            <w:shd w:val="clear" w:color="auto" w:fill="FFFFFF"/>
            <w:noWrap w:val="0"/>
            <w:vAlign w:val="center"/>
          </w:tcPr>
          <w:p w14:paraId="55EDF0DD">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研发资金投入预测</w:t>
            </w:r>
          </w:p>
        </w:tc>
        <w:tc>
          <w:tcPr>
            <w:tcW w:w="7468" w:type="dxa"/>
            <w:gridSpan w:val="4"/>
            <w:shd w:val="clear" w:color="auto" w:fill="FFFFFF"/>
            <w:noWrap w:val="0"/>
            <w:vAlign w:val="center"/>
          </w:tcPr>
          <w:p w14:paraId="7DC84A44">
            <w:pPr>
              <w:keepNext w:val="0"/>
              <w:keepLines w:val="0"/>
              <w:pageBreakBefore w:val="0"/>
              <w:widowControl w:val="0"/>
              <w:kinsoku/>
              <w:wordWrap/>
              <w:overflowPunct/>
              <w:topLinePunct w:val="0"/>
              <w:autoSpaceDE/>
              <w:autoSpaceDN/>
              <w:bidi w:val="0"/>
              <w:adjustRightInd w:val="0"/>
              <w:snapToGrid w:val="0"/>
              <w:spacing w:line="500" w:lineRule="exact"/>
              <w:jc w:val="left"/>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（以揭榜方申报项目测算数据为准）</w:t>
            </w:r>
          </w:p>
          <w:p w14:paraId="64558DF1">
            <w:pPr>
              <w:keepNext w:val="0"/>
              <w:keepLines w:val="0"/>
              <w:pageBreakBefore w:val="0"/>
              <w:widowControl w:val="0"/>
              <w:kinsoku/>
              <w:wordWrap/>
              <w:overflowPunct/>
              <w:topLinePunct w:val="0"/>
              <w:autoSpaceDE/>
              <w:autoSpaceDN/>
              <w:bidi w:val="0"/>
              <w:adjustRightInd w:val="0"/>
              <w:snapToGrid w:val="0"/>
              <w:spacing w:line="500" w:lineRule="exact"/>
              <w:ind w:firstLine="1028" w:firstLineChars="400"/>
              <w:jc w:val="left"/>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研发总预算初步预测： 2100 万元</w:t>
            </w:r>
          </w:p>
        </w:tc>
      </w:tr>
      <w:tr w14:paraId="14A393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gridAfter w:val="1"/>
          <w:wAfter w:w="30" w:type="dxa"/>
          <w:trHeight w:val="1189" w:hRule="atLeast"/>
          <w:jc w:val="center"/>
        </w:trPr>
        <w:tc>
          <w:tcPr>
            <w:tcW w:w="1036" w:type="dxa"/>
            <w:shd w:val="clear" w:color="auto" w:fill="FFFFFF"/>
            <w:noWrap w:val="0"/>
            <w:vAlign w:val="center"/>
          </w:tcPr>
          <w:p w14:paraId="290354B5">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申请财政资金</w:t>
            </w:r>
          </w:p>
        </w:tc>
        <w:tc>
          <w:tcPr>
            <w:tcW w:w="7468" w:type="dxa"/>
            <w:gridSpan w:val="4"/>
            <w:shd w:val="clear" w:color="auto" w:fill="FFFFFF"/>
            <w:noWrap w:val="0"/>
            <w:vAlign w:val="center"/>
          </w:tcPr>
          <w:p w14:paraId="3D9F59E7">
            <w:pPr>
              <w:keepNext w:val="0"/>
              <w:keepLines w:val="0"/>
              <w:pageBreakBefore w:val="0"/>
              <w:widowControl w:val="0"/>
              <w:kinsoku/>
              <w:wordWrap/>
              <w:overflowPunct/>
              <w:topLinePunct w:val="0"/>
              <w:autoSpaceDE/>
              <w:autoSpaceDN/>
              <w:bidi w:val="0"/>
              <w:adjustRightInd w:val="0"/>
              <w:snapToGrid w:val="0"/>
              <w:spacing w:line="500" w:lineRule="exact"/>
              <w:jc w:val="left"/>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（不超过500万元）</w:t>
            </w:r>
          </w:p>
          <w:p w14:paraId="29AC8A2A">
            <w:pPr>
              <w:keepNext w:val="0"/>
              <w:keepLines w:val="0"/>
              <w:pageBreakBefore w:val="0"/>
              <w:widowControl w:val="0"/>
              <w:kinsoku/>
              <w:wordWrap/>
              <w:overflowPunct/>
              <w:topLinePunct w:val="0"/>
              <w:autoSpaceDE/>
              <w:autoSpaceDN/>
              <w:bidi w:val="0"/>
              <w:adjustRightInd w:val="0"/>
              <w:snapToGrid w:val="0"/>
              <w:spacing w:line="500" w:lineRule="exact"/>
              <w:ind w:firstLine="1028" w:firstLineChars="400"/>
              <w:jc w:val="left"/>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申请省科技厅财政资金不超过： 500 万元</w:t>
            </w:r>
          </w:p>
        </w:tc>
      </w:tr>
      <w:tr w14:paraId="3CA806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gridAfter w:val="1"/>
          <w:wAfter w:w="30" w:type="dxa"/>
          <w:trHeight w:val="1189" w:hRule="atLeast"/>
          <w:jc w:val="center"/>
        </w:trPr>
        <w:tc>
          <w:tcPr>
            <w:tcW w:w="1036" w:type="dxa"/>
            <w:shd w:val="clear" w:color="auto" w:fill="FFFFFF"/>
            <w:noWrap w:val="0"/>
            <w:vAlign w:val="center"/>
          </w:tcPr>
          <w:p w14:paraId="4BE06103">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企业出资承诺</w:t>
            </w:r>
          </w:p>
        </w:tc>
        <w:tc>
          <w:tcPr>
            <w:tcW w:w="7468" w:type="dxa"/>
            <w:gridSpan w:val="4"/>
            <w:shd w:val="clear" w:color="auto" w:fill="FFFFFF"/>
            <w:noWrap w:val="0"/>
            <w:vAlign w:val="center"/>
          </w:tcPr>
          <w:p w14:paraId="43FA9AE0">
            <w:pPr>
              <w:keepNext w:val="0"/>
              <w:keepLines w:val="0"/>
              <w:pageBreakBefore w:val="0"/>
              <w:widowControl w:val="0"/>
              <w:kinsoku/>
              <w:wordWrap/>
              <w:overflowPunct/>
              <w:topLinePunct w:val="0"/>
              <w:autoSpaceDE/>
              <w:autoSpaceDN/>
              <w:bidi w:val="0"/>
              <w:adjustRightInd w:val="0"/>
              <w:snapToGrid w:val="0"/>
              <w:spacing w:line="500" w:lineRule="exact"/>
              <w:jc w:val="left"/>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本企业愿意为该技术难题攻关提供研发资金不少于 1600 万元。</w:t>
            </w:r>
          </w:p>
          <w:p w14:paraId="54FADB3D">
            <w:pPr>
              <w:keepNext w:val="0"/>
              <w:keepLines w:val="0"/>
              <w:pageBreakBefore w:val="0"/>
              <w:widowControl w:val="0"/>
              <w:kinsoku/>
              <w:wordWrap/>
              <w:overflowPunct/>
              <w:topLinePunct w:val="0"/>
              <w:autoSpaceDE/>
              <w:autoSpaceDN/>
              <w:bidi w:val="0"/>
              <w:adjustRightInd w:val="0"/>
              <w:snapToGrid w:val="0"/>
              <w:spacing w:line="500" w:lineRule="exact"/>
              <w:ind w:firstLine="3523" w:firstLineChars="1371"/>
              <w:jc w:val="left"/>
              <w:textAlignment w:val="auto"/>
              <w:rPr>
                <w:rFonts w:hint="eastAsia" w:ascii="仿宋_GB2312" w:hAnsi="仿宋_GB2312" w:eastAsia="仿宋_GB2312" w:cs="仿宋_GB2312"/>
                <w:sz w:val="24"/>
                <w:szCs w:val="24"/>
                <w:u w:val="none"/>
              </w:rPr>
            </w:pPr>
          </w:p>
          <w:p w14:paraId="3B4039DC">
            <w:pPr>
              <w:keepNext w:val="0"/>
              <w:keepLines w:val="0"/>
              <w:pageBreakBefore w:val="0"/>
              <w:widowControl w:val="0"/>
              <w:kinsoku/>
              <w:wordWrap/>
              <w:overflowPunct/>
              <w:topLinePunct w:val="0"/>
              <w:autoSpaceDE/>
              <w:autoSpaceDN/>
              <w:bidi w:val="0"/>
              <w:adjustRightInd w:val="0"/>
              <w:snapToGrid w:val="0"/>
              <w:spacing w:line="500" w:lineRule="exact"/>
              <w:jc w:val="left"/>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企业名称：厦门金鹭特种合金有限公司</w:t>
            </w:r>
          </w:p>
        </w:tc>
      </w:tr>
      <w:tr w14:paraId="653BE6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gridAfter w:val="1"/>
          <w:wAfter w:w="30" w:type="dxa"/>
          <w:trHeight w:val="1900" w:hRule="atLeast"/>
          <w:jc w:val="center"/>
        </w:trPr>
        <w:tc>
          <w:tcPr>
            <w:tcW w:w="1036" w:type="dxa"/>
            <w:shd w:val="clear" w:color="auto" w:fill="FFFFFF"/>
            <w:noWrap w:val="0"/>
            <w:vAlign w:val="center"/>
          </w:tcPr>
          <w:p w14:paraId="68C773CD">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企业期望产权归属（以双方实际签署合作协议为准）</w:t>
            </w:r>
          </w:p>
        </w:tc>
        <w:tc>
          <w:tcPr>
            <w:tcW w:w="7468" w:type="dxa"/>
            <w:gridSpan w:val="4"/>
            <w:shd w:val="clear" w:color="auto" w:fill="FFFFFF"/>
            <w:noWrap w:val="0"/>
            <w:vAlign w:val="center"/>
          </w:tcPr>
          <w:p w14:paraId="66137FCD">
            <w:pPr>
              <w:keepNext w:val="0"/>
              <w:keepLines w:val="0"/>
              <w:pageBreakBefore w:val="0"/>
              <w:widowControl w:val="0"/>
              <w:kinsoku/>
              <w:wordWrap/>
              <w:overflowPunct/>
              <w:topLinePunct w:val="0"/>
              <w:autoSpaceDE/>
              <w:autoSpaceDN/>
              <w:bidi w:val="0"/>
              <w:adjustRightInd w:val="0"/>
              <w:snapToGrid w:val="0"/>
              <w:spacing w:line="500" w:lineRule="exact"/>
              <w:ind w:firstLine="514" w:firstLineChars="200"/>
              <w:jc w:val="both"/>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本项目产生的知识产权归属由联合研发协议约定，无约定时默认归需求方所有，需确保无产权纠纷且掌握自主知识产权。成果实行全周期管控并设里程碑考核。合作研发成果由需求方独家实施产业化，转化收益归需求方。共有成果转让需各方同意，单方成果另一方享优先受让权，具体收益分成和争议解决机制在协议中细化。</w:t>
            </w:r>
          </w:p>
        </w:tc>
      </w:tr>
      <w:tr w14:paraId="33481E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gridAfter w:val="1"/>
          <w:wAfter w:w="30" w:type="dxa"/>
          <w:trHeight w:val="589" w:hRule="atLeast"/>
          <w:jc w:val="center"/>
        </w:trPr>
        <w:tc>
          <w:tcPr>
            <w:tcW w:w="1036" w:type="dxa"/>
            <w:shd w:val="clear" w:color="auto" w:fill="FFFFFF"/>
            <w:noWrap w:val="0"/>
            <w:vAlign w:val="center"/>
          </w:tcPr>
          <w:p w14:paraId="5FEE9D1A">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企业承接转化后预期的经济、社会效益（限300字以内）</w:t>
            </w:r>
          </w:p>
        </w:tc>
        <w:tc>
          <w:tcPr>
            <w:tcW w:w="7468" w:type="dxa"/>
            <w:gridSpan w:val="4"/>
            <w:shd w:val="clear" w:color="auto" w:fill="FFFFFF"/>
            <w:noWrap w:val="0"/>
            <w:vAlign w:val="center"/>
          </w:tcPr>
          <w:p w14:paraId="351E5679">
            <w:pPr>
              <w:keepNext w:val="0"/>
              <w:keepLines w:val="0"/>
              <w:pageBreakBefore w:val="0"/>
              <w:widowControl w:val="0"/>
              <w:kinsoku/>
              <w:wordWrap/>
              <w:overflowPunct/>
              <w:topLinePunct w:val="0"/>
              <w:autoSpaceDE/>
              <w:autoSpaceDN/>
              <w:bidi w:val="0"/>
              <w:adjustRightInd w:val="0"/>
              <w:snapToGrid w:val="0"/>
              <w:spacing w:line="500" w:lineRule="exact"/>
              <w:ind w:firstLine="514" w:firstLineChars="200"/>
              <w:jc w:val="both"/>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经济效益方面，项目成功研制将打破国外智能刀具垄断，国产化替代降本显著，单件加工综合成本降低30%，实现高温合金等难加工材料高精高效加工。在典型材料与典型工艺条件下，通过“状态换刀+在线调参”降低刀具消耗与停机成本：形成可在企业现场推广的应用方案，产值预期达到2000万人民币，并具备后续规模化应用条件。同时将带动福建高端刀具与智能制造产业链升级，提升市场竞争力。</w:t>
            </w:r>
          </w:p>
          <w:p w14:paraId="07AAC0B5">
            <w:pPr>
              <w:keepNext w:val="0"/>
              <w:keepLines w:val="0"/>
              <w:pageBreakBefore w:val="0"/>
              <w:widowControl w:val="0"/>
              <w:kinsoku/>
              <w:wordWrap/>
              <w:overflowPunct/>
              <w:topLinePunct w:val="0"/>
              <w:autoSpaceDE/>
              <w:autoSpaceDN/>
              <w:bidi w:val="0"/>
              <w:adjustRightInd w:val="0"/>
              <w:snapToGrid w:val="0"/>
              <w:spacing w:line="500" w:lineRule="exact"/>
              <w:ind w:firstLine="514" w:firstLineChars="200"/>
              <w:jc w:val="both"/>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社会效益方面，突破智能感知与自主决策关键技术，填补国内空白，支撑制造业“黑灯工厂”转型。提升航空航天、汽车等高端制造安全性，减少断刀、撞刀事故，保障生产安全。推动刀具数字化、智能化发展，助力福建智能制造生态构建，增强我国高端制造自主可控能力。</w:t>
            </w:r>
          </w:p>
        </w:tc>
      </w:tr>
    </w:tbl>
    <w:p w14:paraId="20B24DA4">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sz w:val="32"/>
          <w:szCs w:val="32"/>
          <w:u w:val="none"/>
        </w:rPr>
      </w:pPr>
    </w:p>
    <w:p w14:paraId="332E3173">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sz w:val="32"/>
          <w:szCs w:val="32"/>
          <w:u w:val="none"/>
        </w:rPr>
      </w:pPr>
    </w:p>
    <w:p w14:paraId="5B32CFD7">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sz w:val="32"/>
          <w:szCs w:val="32"/>
          <w:u w:val="none"/>
        </w:rPr>
      </w:pPr>
    </w:p>
    <w:p w14:paraId="23370BD9">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sz w:val="32"/>
          <w:szCs w:val="32"/>
          <w:u w:val="none"/>
        </w:rPr>
      </w:pPr>
    </w:p>
    <w:p w14:paraId="708B9ED5">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sz w:val="32"/>
          <w:szCs w:val="32"/>
          <w:u w:val="none"/>
        </w:rPr>
      </w:pPr>
    </w:p>
    <w:p w14:paraId="4041912A">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sz w:val="32"/>
          <w:szCs w:val="32"/>
          <w:u w:val="none"/>
        </w:rPr>
      </w:pPr>
    </w:p>
    <w:p w14:paraId="36230B2A">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sz w:val="32"/>
          <w:szCs w:val="32"/>
          <w:u w:val="none"/>
        </w:rPr>
      </w:pPr>
    </w:p>
    <w:p w14:paraId="78BC4598">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sz w:val="32"/>
          <w:szCs w:val="32"/>
          <w:u w:val="none"/>
        </w:rPr>
      </w:pPr>
    </w:p>
    <w:p w14:paraId="0B6D3FAE">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sz w:val="32"/>
          <w:szCs w:val="32"/>
          <w:u w:val="none"/>
        </w:rPr>
      </w:pPr>
    </w:p>
    <w:p w14:paraId="685EC691">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sz w:val="32"/>
          <w:szCs w:val="32"/>
          <w:u w:val="none"/>
        </w:rPr>
      </w:pPr>
    </w:p>
    <w:p w14:paraId="3094CBD6">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sz w:val="32"/>
          <w:szCs w:val="32"/>
          <w:u w:val="none"/>
        </w:rPr>
      </w:pPr>
    </w:p>
    <w:p w14:paraId="73955650">
      <w:pPr>
        <w:keepNext w:val="0"/>
        <w:keepLines w:val="0"/>
        <w:pageBreakBefore w:val="0"/>
        <w:widowControl w:val="0"/>
        <w:kinsoku/>
        <w:wordWrap/>
        <w:overflowPunct/>
        <w:topLinePunct w:val="0"/>
        <w:autoSpaceDE/>
        <w:autoSpaceDN/>
        <w:bidi w:val="0"/>
        <w:adjustRightInd/>
        <w:snapToGrid/>
        <w:spacing w:line="600" w:lineRule="exact"/>
        <w:textAlignment w:val="auto"/>
        <w:rPr>
          <w:rFonts w:ascii="黑体" w:hAnsi="黑体" w:eastAsia="黑体" w:cs="黑体"/>
          <w:bCs/>
          <w:spacing w:val="6"/>
          <w:sz w:val="32"/>
          <w:szCs w:val="32"/>
          <w:u w:val="none"/>
        </w:rPr>
      </w:pPr>
      <w:r>
        <w:rPr>
          <w:rFonts w:hint="eastAsia" w:ascii="黑体" w:hAnsi="黑体" w:eastAsia="黑体" w:cs="黑体"/>
          <w:sz w:val="32"/>
          <w:szCs w:val="32"/>
          <w:u w:val="none"/>
        </w:rPr>
        <w:t>榜单</w:t>
      </w:r>
      <w:r>
        <w:rPr>
          <w:rFonts w:hint="eastAsia" w:ascii="黑体" w:hAnsi="黑体" w:eastAsia="黑体" w:cs="黑体"/>
          <w:sz w:val="32"/>
          <w:szCs w:val="32"/>
          <w:u w:val="none"/>
          <w:lang w:eastAsia="zh-CN"/>
        </w:rPr>
        <w:t>四</w:t>
      </w:r>
      <w:r>
        <w:rPr>
          <w:rFonts w:hint="eastAsia" w:ascii="黑体" w:hAnsi="黑体" w:eastAsia="黑体" w:cs="黑体"/>
          <w:sz w:val="32"/>
          <w:szCs w:val="32"/>
          <w:u w:val="none"/>
        </w:rPr>
        <w:t>：快长型杜洛克父本优势基因挖掘、品系选育及PEDV/PoRV/GETV亚单位疫苗的研发（指南代码：</w:t>
      </w:r>
      <w:r>
        <w:rPr>
          <w:rFonts w:ascii="黑体" w:hAnsi="黑体" w:eastAsia="黑体" w:cs="黑体"/>
          <w:sz w:val="32"/>
          <w:szCs w:val="32"/>
          <w:u w:val="none"/>
        </w:rPr>
        <w:t>202</w:t>
      </w:r>
      <w:r>
        <w:rPr>
          <w:rFonts w:hint="eastAsia" w:ascii="黑体" w:hAnsi="黑体" w:eastAsia="黑体" w:cs="黑体"/>
          <w:sz w:val="32"/>
          <w:szCs w:val="32"/>
          <w:u w:val="none"/>
          <w:lang w:val="en-US" w:eastAsia="zh-CN"/>
        </w:rPr>
        <w:t>6</w:t>
      </w:r>
      <w:r>
        <w:rPr>
          <w:rFonts w:ascii="黑体" w:hAnsi="黑体" w:eastAsia="黑体" w:cs="黑体"/>
          <w:szCs w:val="32"/>
          <w:u w:val="none"/>
        </w:rPr>
        <w:t>NZ</w:t>
      </w:r>
      <w:r>
        <w:rPr>
          <w:rFonts w:hint="eastAsia" w:ascii="黑体" w:hAnsi="黑体" w:eastAsia="黑体" w:cs="黑体"/>
          <w:sz w:val="32"/>
          <w:szCs w:val="32"/>
          <w:u w:val="none"/>
          <w:lang w:val="en-US" w:eastAsia="zh-CN"/>
        </w:rPr>
        <w:t>0121</w:t>
      </w:r>
      <w:r>
        <w:rPr>
          <w:rFonts w:hint="eastAsia" w:ascii="黑体" w:hAnsi="黑体" w:eastAsia="黑体" w:cs="黑体"/>
          <w:sz w:val="32"/>
          <w:szCs w:val="32"/>
          <w:u w:val="none"/>
        </w:rPr>
        <w:t>）</w:t>
      </w:r>
    </w:p>
    <w:tbl>
      <w:tblPr>
        <w:tblStyle w:val="12"/>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Layout w:type="fixed"/>
        <w:tblCellMar>
          <w:top w:w="57" w:type="dxa"/>
          <w:left w:w="57" w:type="dxa"/>
          <w:bottom w:w="57" w:type="dxa"/>
          <w:right w:w="57" w:type="dxa"/>
        </w:tblCellMar>
      </w:tblPr>
      <w:tblGrid>
        <w:gridCol w:w="1175"/>
        <w:gridCol w:w="588"/>
        <w:gridCol w:w="3511"/>
        <w:gridCol w:w="3529"/>
      </w:tblGrid>
      <w:tr w14:paraId="159301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567" w:hRule="atLeast"/>
          <w:jc w:val="center"/>
        </w:trPr>
        <w:tc>
          <w:tcPr>
            <w:tcW w:w="1763" w:type="dxa"/>
            <w:gridSpan w:val="2"/>
            <w:tcBorders>
              <w:top w:val="single" w:color="auto" w:sz="6" w:space="0"/>
              <w:left w:val="single" w:color="auto" w:sz="6" w:space="0"/>
              <w:bottom w:val="single" w:color="auto" w:sz="6" w:space="0"/>
              <w:right w:val="single" w:color="auto" w:sz="6" w:space="0"/>
            </w:tcBorders>
            <w:shd w:val="clear" w:color="auto" w:fill="FFFFFF"/>
            <w:noWrap w:val="0"/>
            <w:vAlign w:val="center"/>
          </w:tcPr>
          <w:p w14:paraId="0148A4DB">
            <w:pPr>
              <w:keepNext w:val="0"/>
              <w:keepLines w:val="0"/>
              <w:pageBreakBefore w:val="0"/>
              <w:kinsoku/>
              <w:overflowPunct/>
              <w:topLinePunct w:val="0"/>
              <w:autoSpaceDE/>
              <w:autoSpaceDN/>
              <w:bidi w:val="0"/>
              <w:adjustRightInd w:val="0"/>
              <w:snapToGrid w:val="0"/>
              <w:spacing w:line="500" w:lineRule="exact"/>
              <w:jc w:val="center"/>
              <w:rPr>
                <w:rFonts w:ascii="仿宋_GB2312" w:hAnsi="仿宋_GB2312" w:cs="仿宋_GB2312"/>
                <w:sz w:val="24"/>
                <w:u w:val="none"/>
              </w:rPr>
            </w:pPr>
            <w:r>
              <w:rPr>
                <w:rFonts w:hint="eastAsia" w:ascii="仿宋_GB2312" w:hAnsi="仿宋_GB2312" w:cs="仿宋_GB2312"/>
                <w:sz w:val="24"/>
                <w:u w:val="none"/>
                <w:lang w:bidi="ar"/>
              </w:rPr>
              <w:t>重大技术需求（难题）题目</w:t>
            </w:r>
          </w:p>
        </w:tc>
        <w:tc>
          <w:tcPr>
            <w:tcW w:w="7040" w:type="dxa"/>
            <w:gridSpan w:val="2"/>
            <w:tcBorders>
              <w:top w:val="single" w:color="auto" w:sz="6" w:space="0"/>
              <w:left w:val="single" w:color="auto" w:sz="6" w:space="0"/>
              <w:bottom w:val="single" w:color="auto" w:sz="6" w:space="0"/>
              <w:right w:val="single" w:color="auto" w:sz="6" w:space="0"/>
            </w:tcBorders>
            <w:shd w:val="clear" w:color="auto" w:fill="FFFFFF"/>
            <w:noWrap w:val="0"/>
            <w:vAlign w:val="center"/>
          </w:tcPr>
          <w:p w14:paraId="3F26CFBC">
            <w:pPr>
              <w:keepNext w:val="0"/>
              <w:keepLines w:val="0"/>
              <w:pageBreakBefore w:val="0"/>
              <w:kinsoku/>
              <w:overflowPunct/>
              <w:topLinePunct w:val="0"/>
              <w:autoSpaceDE/>
              <w:autoSpaceDN/>
              <w:bidi w:val="0"/>
              <w:adjustRightInd w:val="0"/>
              <w:snapToGrid w:val="0"/>
              <w:spacing w:line="500" w:lineRule="exact"/>
              <w:jc w:val="center"/>
              <w:rPr>
                <w:rFonts w:hint="eastAsia" w:ascii="仿宋_GB2312" w:hAnsi="仿宋_GB2312" w:cs="仿宋_GB2312"/>
                <w:sz w:val="24"/>
                <w:u w:val="none"/>
                <w:lang w:bidi="ar"/>
              </w:rPr>
            </w:pPr>
            <w:r>
              <w:rPr>
                <w:rFonts w:hint="eastAsia" w:ascii="仿宋_GB2312" w:hAnsi="仿宋_GB2312" w:cs="仿宋_GB2312"/>
                <w:sz w:val="24"/>
                <w:u w:val="none"/>
                <w:lang w:val="en-US" w:eastAsia="zh-CN" w:bidi="ar"/>
              </w:rPr>
              <w:t>快长型杜洛克父本优势基因挖掘、品系选育及PEDV/PoRV/GETV 亚单位疫苗的研发</w:t>
            </w:r>
          </w:p>
        </w:tc>
      </w:tr>
      <w:tr w14:paraId="77E2BA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567" w:hRule="atLeast"/>
          <w:jc w:val="center"/>
        </w:trPr>
        <w:tc>
          <w:tcPr>
            <w:tcW w:w="1763" w:type="dxa"/>
            <w:gridSpan w:val="2"/>
            <w:tcBorders>
              <w:top w:val="single" w:color="auto" w:sz="6" w:space="0"/>
              <w:left w:val="single" w:color="auto" w:sz="6" w:space="0"/>
              <w:bottom w:val="single" w:color="auto" w:sz="6" w:space="0"/>
              <w:right w:val="single" w:color="auto" w:sz="6" w:space="0"/>
            </w:tcBorders>
            <w:shd w:val="clear" w:color="auto" w:fill="FFFFFF"/>
            <w:noWrap w:val="0"/>
            <w:vAlign w:val="center"/>
          </w:tcPr>
          <w:p w14:paraId="60FA9312">
            <w:pPr>
              <w:keepNext w:val="0"/>
              <w:keepLines w:val="0"/>
              <w:pageBreakBefore w:val="0"/>
              <w:kinsoku/>
              <w:overflowPunct/>
              <w:topLinePunct w:val="0"/>
              <w:autoSpaceDE/>
              <w:autoSpaceDN/>
              <w:bidi w:val="0"/>
              <w:adjustRightInd w:val="0"/>
              <w:snapToGrid w:val="0"/>
              <w:spacing w:line="500" w:lineRule="exact"/>
              <w:jc w:val="center"/>
              <w:rPr>
                <w:rFonts w:ascii="仿宋_GB2312" w:hAnsi="仿宋_GB2312" w:cs="仿宋_GB2312"/>
                <w:color w:val="0000FF"/>
                <w:sz w:val="24"/>
                <w:u w:val="none"/>
              </w:rPr>
            </w:pPr>
            <w:r>
              <w:rPr>
                <w:rFonts w:hint="eastAsia" w:ascii="仿宋_GB2312" w:hAnsi="仿宋_GB2312" w:cs="仿宋_GB2312"/>
                <w:sz w:val="24"/>
                <w:u w:val="none"/>
                <w:lang w:val="en-US" w:eastAsia="zh-CN" w:bidi="ar"/>
              </w:rPr>
              <w:t>所属重大专项</w:t>
            </w:r>
          </w:p>
        </w:tc>
        <w:tc>
          <w:tcPr>
            <w:tcW w:w="7040" w:type="dxa"/>
            <w:gridSpan w:val="2"/>
            <w:tcBorders>
              <w:top w:val="single" w:color="auto" w:sz="6" w:space="0"/>
              <w:left w:val="single" w:color="auto" w:sz="6" w:space="0"/>
              <w:bottom w:val="single" w:color="auto" w:sz="6" w:space="0"/>
              <w:right w:val="single" w:color="auto" w:sz="6" w:space="0"/>
            </w:tcBorders>
            <w:shd w:val="clear" w:color="auto" w:fill="FFFFFF"/>
            <w:noWrap w:val="0"/>
            <w:vAlign w:val="center"/>
          </w:tcPr>
          <w:p w14:paraId="3786065B">
            <w:pPr>
              <w:keepNext w:val="0"/>
              <w:keepLines w:val="0"/>
              <w:pageBreakBefore w:val="0"/>
              <w:kinsoku/>
              <w:overflowPunct/>
              <w:topLinePunct w:val="0"/>
              <w:autoSpaceDE/>
              <w:autoSpaceDN/>
              <w:bidi w:val="0"/>
              <w:adjustRightInd w:val="0"/>
              <w:snapToGrid w:val="0"/>
              <w:spacing w:line="500" w:lineRule="exact"/>
              <w:jc w:val="center"/>
              <w:rPr>
                <w:rFonts w:hint="eastAsia" w:ascii="仿宋_GB2312" w:hAnsi="仿宋_GB2312" w:eastAsia="仿宋_GB2312" w:cs="仿宋_GB2312"/>
                <w:color w:val="0000FF"/>
                <w:sz w:val="24"/>
                <w:u w:val="none"/>
                <w:lang w:eastAsia="zh-CN" w:bidi="ar"/>
              </w:rPr>
            </w:pPr>
            <w:r>
              <w:rPr>
                <w:rFonts w:hint="eastAsia" w:ascii="仿宋_GB2312" w:hAnsi="仿宋_GB2312" w:cs="仿宋_GB2312"/>
                <w:sz w:val="24"/>
                <w:u w:val="none"/>
                <w:lang w:val="en-US" w:eastAsia="zh-CN" w:bidi="ar"/>
              </w:rPr>
              <w:t>高效绿色种养</w:t>
            </w:r>
          </w:p>
        </w:tc>
      </w:tr>
      <w:tr w14:paraId="3AC212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567" w:hRule="atLeast"/>
          <w:jc w:val="center"/>
        </w:trPr>
        <w:tc>
          <w:tcPr>
            <w:tcW w:w="1763" w:type="dxa"/>
            <w:gridSpan w:val="2"/>
            <w:tcBorders>
              <w:top w:val="single" w:color="auto" w:sz="6" w:space="0"/>
              <w:left w:val="single" w:color="auto" w:sz="6" w:space="0"/>
              <w:bottom w:val="single" w:color="auto" w:sz="6" w:space="0"/>
              <w:right w:val="single" w:color="auto" w:sz="6" w:space="0"/>
            </w:tcBorders>
            <w:shd w:val="clear" w:color="auto" w:fill="FFFFFF"/>
            <w:noWrap w:val="0"/>
            <w:vAlign w:val="center"/>
          </w:tcPr>
          <w:p w14:paraId="3A654343">
            <w:pPr>
              <w:keepNext w:val="0"/>
              <w:keepLines w:val="0"/>
              <w:pageBreakBefore w:val="0"/>
              <w:kinsoku/>
              <w:overflowPunct/>
              <w:topLinePunct w:val="0"/>
              <w:autoSpaceDE/>
              <w:autoSpaceDN/>
              <w:bidi w:val="0"/>
              <w:adjustRightInd w:val="0"/>
              <w:snapToGrid w:val="0"/>
              <w:spacing w:line="500" w:lineRule="exact"/>
              <w:jc w:val="center"/>
              <w:rPr>
                <w:rFonts w:ascii="仿宋_GB2312" w:hAnsi="仿宋_GB2312" w:cs="仿宋_GB2312"/>
                <w:sz w:val="24"/>
                <w:u w:val="none"/>
              </w:rPr>
            </w:pPr>
            <w:r>
              <w:rPr>
                <w:rFonts w:hint="eastAsia" w:ascii="仿宋_GB2312" w:hAnsi="仿宋_GB2312" w:cs="仿宋_GB2312"/>
                <w:sz w:val="24"/>
                <w:u w:val="none"/>
                <w:lang w:bidi="ar"/>
              </w:rPr>
              <w:t>所属行业领域</w:t>
            </w:r>
          </w:p>
        </w:tc>
        <w:tc>
          <w:tcPr>
            <w:tcW w:w="7040" w:type="dxa"/>
            <w:gridSpan w:val="2"/>
            <w:tcBorders>
              <w:top w:val="single" w:color="auto" w:sz="6" w:space="0"/>
              <w:left w:val="single" w:color="auto" w:sz="6" w:space="0"/>
              <w:bottom w:val="single" w:color="auto" w:sz="6" w:space="0"/>
              <w:right w:val="single" w:color="auto" w:sz="6" w:space="0"/>
            </w:tcBorders>
            <w:shd w:val="clear" w:color="auto" w:fill="FFFFFF"/>
            <w:noWrap w:val="0"/>
            <w:vAlign w:val="center"/>
          </w:tcPr>
          <w:p w14:paraId="4E366E0D">
            <w:pPr>
              <w:keepNext w:val="0"/>
              <w:keepLines w:val="0"/>
              <w:pageBreakBefore w:val="0"/>
              <w:kinsoku/>
              <w:overflowPunct/>
              <w:topLinePunct w:val="0"/>
              <w:autoSpaceDE/>
              <w:autoSpaceDN/>
              <w:bidi w:val="0"/>
              <w:adjustRightInd w:val="0"/>
              <w:snapToGrid w:val="0"/>
              <w:spacing w:line="500" w:lineRule="exact"/>
              <w:jc w:val="center"/>
              <w:rPr>
                <w:rFonts w:hint="eastAsia" w:ascii="仿宋_GB2312" w:hAnsi="仿宋_GB2312" w:cs="仿宋_GB2312"/>
                <w:sz w:val="24"/>
                <w:u w:val="none"/>
                <w:lang w:bidi="ar"/>
              </w:rPr>
            </w:pPr>
            <w:r>
              <w:rPr>
                <w:rFonts w:hint="eastAsia" w:ascii="仿宋_GB2312" w:hAnsi="仿宋_GB2312" w:cs="仿宋_GB2312"/>
                <w:sz w:val="24"/>
                <w:u w:val="none"/>
                <w:lang w:val="en-US" w:eastAsia="zh-CN" w:bidi="ar"/>
              </w:rPr>
              <w:t>现代农业</w:t>
            </w:r>
          </w:p>
        </w:tc>
      </w:tr>
      <w:tr w14:paraId="73AE5F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12" w:hRule="atLeast"/>
          <w:jc w:val="center"/>
        </w:trPr>
        <w:tc>
          <w:tcPr>
            <w:tcW w:w="1763" w:type="dxa"/>
            <w:gridSpan w:val="2"/>
            <w:tcBorders>
              <w:top w:val="single" w:color="auto" w:sz="6" w:space="0"/>
              <w:left w:val="single" w:color="auto" w:sz="6" w:space="0"/>
              <w:bottom w:val="single" w:color="auto" w:sz="6" w:space="0"/>
              <w:right w:val="single" w:color="auto" w:sz="6" w:space="0"/>
            </w:tcBorders>
            <w:shd w:val="clear" w:color="auto" w:fill="FFFFFF"/>
            <w:noWrap w:val="0"/>
            <w:vAlign w:val="center"/>
          </w:tcPr>
          <w:p w14:paraId="0A8B9740">
            <w:pPr>
              <w:keepNext w:val="0"/>
              <w:keepLines w:val="0"/>
              <w:pageBreakBefore w:val="0"/>
              <w:kinsoku/>
              <w:overflowPunct/>
              <w:topLinePunct w:val="0"/>
              <w:autoSpaceDE/>
              <w:autoSpaceDN/>
              <w:bidi w:val="0"/>
              <w:adjustRightInd w:val="0"/>
              <w:snapToGrid w:val="0"/>
              <w:spacing w:line="500" w:lineRule="exact"/>
              <w:jc w:val="center"/>
              <w:rPr>
                <w:rFonts w:ascii="仿宋_GB2312" w:hAnsi="仿宋_GB2312" w:cs="仿宋_GB2312"/>
                <w:sz w:val="24"/>
                <w:u w:val="none"/>
              </w:rPr>
            </w:pPr>
            <w:r>
              <w:rPr>
                <w:rFonts w:hint="eastAsia" w:ascii="仿宋_GB2312" w:hAnsi="仿宋_GB2312" w:cs="仿宋_GB2312"/>
                <w:sz w:val="24"/>
                <w:u w:val="none"/>
                <w:lang w:bidi="ar"/>
              </w:rPr>
              <w:t>技术难题性质</w:t>
            </w:r>
          </w:p>
        </w:tc>
        <w:tc>
          <w:tcPr>
            <w:tcW w:w="7040" w:type="dxa"/>
            <w:gridSpan w:val="2"/>
            <w:tcBorders>
              <w:top w:val="single" w:color="auto" w:sz="6" w:space="0"/>
              <w:left w:val="single" w:color="auto" w:sz="6" w:space="0"/>
              <w:bottom w:val="single" w:color="auto" w:sz="6" w:space="0"/>
              <w:right w:val="single" w:color="auto" w:sz="6" w:space="0"/>
            </w:tcBorders>
            <w:shd w:val="clear" w:color="auto" w:fill="FFFFFF"/>
            <w:noWrap w:val="0"/>
            <w:vAlign w:val="center"/>
          </w:tcPr>
          <w:p w14:paraId="15353DEB">
            <w:pPr>
              <w:keepNext w:val="0"/>
              <w:keepLines w:val="0"/>
              <w:pageBreakBefore w:val="0"/>
              <w:kinsoku/>
              <w:overflowPunct/>
              <w:topLinePunct w:val="0"/>
              <w:autoSpaceDE/>
              <w:autoSpaceDN/>
              <w:bidi w:val="0"/>
              <w:adjustRightInd w:val="0"/>
              <w:snapToGrid w:val="0"/>
              <w:spacing w:line="500" w:lineRule="exact"/>
              <w:jc w:val="center"/>
              <w:rPr>
                <w:rFonts w:ascii="仿宋_GB2312" w:hAnsi="仿宋_GB2312" w:cs="仿宋_GB2312"/>
                <w:sz w:val="24"/>
                <w:u w:val="none"/>
              </w:rPr>
            </w:pPr>
            <w:r>
              <w:rPr>
                <w:rFonts w:hint="eastAsia" w:ascii="仿宋_GB2312" w:hAnsi="仿宋_GB2312" w:cs="仿宋_GB2312"/>
                <w:sz w:val="24"/>
                <w:u w:val="none"/>
                <w:lang w:bidi="ar"/>
              </w:rPr>
              <w:t xml:space="preserve">☑ 需要外部科研力量帮助解决 □ 企业依靠自身力量能解决 </w:t>
            </w:r>
          </w:p>
        </w:tc>
      </w:tr>
      <w:tr w14:paraId="0842A6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39" w:hRule="atLeast"/>
          <w:jc w:val="center"/>
        </w:trPr>
        <w:tc>
          <w:tcPr>
            <w:tcW w:w="8803" w:type="dxa"/>
            <w:gridSpan w:val="4"/>
            <w:tcBorders>
              <w:top w:val="single" w:color="auto" w:sz="6" w:space="0"/>
              <w:left w:val="single" w:color="auto" w:sz="6" w:space="0"/>
              <w:bottom w:val="single" w:color="auto" w:sz="6" w:space="0"/>
              <w:right w:val="single" w:color="auto" w:sz="6" w:space="0"/>
            </w:tcBorders>
            <w:shd w:val="clear" w:color="auto" w:fill="FFFFFF"/>
            <w:noWrap w:val="0"/>
            <w:vAlign w:val="center"/>
          </w:tcPr>
          <w:p w14:paraId="4236C18A">
            <w:pPr>
              <w:keepNext w:val="0"/>
              <w:keepLines w:val="0"/>
              <w:pageBreakBefore w:val="0"/>
              <w:kinsoku/>
              <w:overflowPunct/>
              <w:topLinePunct w:val="0"/>
              <w:autoSpaceDE/>
              <w:autoSpaceDN/>
              <w:bidi w:val="0"/>
              <w:adjustRightInd w:val="0"/>
              <w:snapToGrid w:val="0"/>
              <w:spacing w:line="500" w:lineRule="exact"/>
              <w:jc w:val="center"/>
              <w:rPr>
                <w:rFonts w:ascii="仿宋_GB2312" w:hAnsi="仿宋_GB2312" w:cs="仿宋_GB2312"/>
                <w:b/>
                <w:sz w:val="24"/>
                <w:u w:val="none"/>
              </w:rPr>
            </w:pPr>
            <w:r>
              <w:rPr>
                <w:rFonts w:hint="eastAsia" w:ascii="仿宋_GB2312" w:hAnsi="仿宋_GB2312" w:cs="仿宋_GB2312"/>
                <w:b/>
                <w:sz w:val="24"/>
                <w:u w:val="none"/>
                <w:lang w:bidi="ar"/>
              </w:rPr>
              <w:t>揭榜方须完成或满足的内容</w:t>
            </w:r>
          </w:p>
        </w:tc>
      </w:tr>
      <w:tr w14:paraId="7DF9D6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742" w:hRule="atLeast"/>
          <w:jc w:val="center"/>
        </w:trPr>
        <w:tc>
          <w:tcPr>
            <w:tcW w:w="1175"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16AE0145">
            <w:pPr>
              <w:keepNext w:val="0"/>
              <w:keepLines w:val="0"/>
              <w:pageBreakBefore w:val="0"/>
              <w:kinsoku/>
              <w:overflowPunct/>
              <w:topLinePunct w:val="0"/>
              <w:autoSpaceDE/>
              <w:autoSpaceDN/>
              <w:bidi w:val="0"/>
              <w:adjustRightInd w:val="0"/>
              <w:snapToGrid w:val="0"/>
              <w:spacing w:line="500" w:lineRule="exact"/>
              <w:jc w:val="center"/>
              <w:rPr>
                <w:rFonts w:ascii="仿宋_GB2312" w:hAnsi="仿宋_GB2312" w:cs="仿宋_GB2312"/>
                <w:sz w:val="24"/>
                <w:u w:val="none"/>
              </w:rPr>
            </w:pPr>
            <w:r>
              <w:rPr>
                <w:rFonts w:hint="eastAsia" w:ascii="仿宋_GB2312" w:hAnsi="仿宋_GB2312" w:cs="仿宋_GB2312"/>
                <w:sz w:val="24"/>
                <w:u w:val="none"/>
                <w:lang w:bidi="ar"/>
              </w:rPr>
              <w:t>技术难题和攻关内容（</w:t>
            </w:r>
            <w:r>
              <w:rPr>
                <w:rFonts w:hint="eastAsia" w:ascii="仿宋_GB2312" w:hAnsi="仿宋_GB2312" w:cs="仿宋_GB2312"/>
                <w:spacing w:val="-11"/>
                <w:sz w:val="24"/>
                <w:u w:val="none"/>
                <w:lang w:bidi="ar"/>
              </w:rPr>
              <w:t>限500</w:t>
            </w:r>
          </w:p>
          <w:p w14:paraId="2F4D097F">
            <w:pPr>
              <w:keepNext w:val="0"/>
              <w:keepLines w:val="0"/>
              <w:pageBreakBefore w:val="0"/>
              <w:kinsoku/>
              <w:overflowPunct/>
              <w:topLinePunct w:val="0"/>
              <w:autoSpaceDE/>
              <w:autoSpaceDN/>
              <w:bidi w:val="0"/>
              <w:adjustRightInd w:val="0"/>
              <w:snapToGrid w:val="0"/>
              <w:spacing w:line="500" w:lineRule="exact"/>
              <w:jc w:val="center"/>
              <w:rPr>
                <w:rFonts w:ascii="仿宋_GB2312" w:hAnsi="仿宋_GB2312" w:cs="仿宋_GB2312"/>
                <w:sz w:val="24"/>
                <w:u w:val="none"/>
              </w:rPr>
            </w:pPr>
            <w:r>
              <w:rPr>
                <w:rFonts w:hint="eastAsia" w:ascii="仿宋_GB2312" w:hAnsi="仿宋_GB2312" w:cs="仿宋_GB2312"/>
                <w:sz w:val="24"/>
                <w:u w:val="none"/>
                <w:lang w:bidi="ar"/>
              </w:rPr>
              <w:t>字以内）</w:t>
            </w:r>
          </w:p>
        </w:tc>
        <w:tc>
          <w:tcPr>
            <w:tcW w:w="7628" w:type="dxa"/>
            <w:gridSpan w:val="3"/>
            <w:tcBorders>
              <w:top w:val="single" w:color="auto" w:sz="6" w:space="0"/>
              <w:left w:val="single" w:color="auto" w:sz="6" w:space="0"/>
              <w:bottom w:val="single" w:color="auto" w:sz="6" w:space="0"/>
              <w:right w:val="single" w:color="auto" w:sz="6" w:space="0"/>
            </w:tcBorders>
            <w:shd w:val="clear" w:color="auto" w:fill="FFFFFF"/>
            <w:noWrap w:val="0"/>
            <w:vAlign w:val="top"/>
          </w:tcPr>
          <w:p w14:paraId="0681FE4D">
            <w:pPr>
              <w:keepNext w:val="0"/>
              <w:keepLines w:val="0"/>
              <w:pageBreakBefore w:val="0"/>
              <w:kinsoku/>
              <w:overflowPunct/>
              <w:topLinePunct w:val="0"/>
              <w:autoSpaceDE/>
              <w:autoSpaceDN/>
              <w:bidi w:val="0"/>
              <w:adjustRightInd w:val="0"/>
              <w:snapToGrid w:val="0"/>
              <w:spacing w:line="500" w:lineRule="exact"/>
              <w:ind w:firstLine="514" w:firstLineChars="200"/>
              <w:jc w:val="left"/>
              <w:rPr>
                <w:rFonts w:hint="eastAsia" w:ascii="仿宋_GB2312" w:hAnsi="仿宋_GB2312" w:cs="仿宋_GB2312"/>
                <w:sz w:val="24"/>
                <w:u w:val="none"/>
                <w:lang w:val="en-US" w:eastAsia="zh-CN" w:bidi="ar"/>
              </w:rPr>
            </w:pPr>
            <w:r>
              <w:rPr>
                <w:rFonts w:hint="eastAsia" w:ascii="仿宋_GB2312" w:hAnsi="仿宋_GB2312" w:cs="仿宋_GB2312"/>
                <w:sz w:val="24"/>
                <w:u w:val="none"/>
                <w:lang w:val="en-US" w:eastAsia="zh-CN" w:bidi="ar"/>
              </w:rPr>
              <w:t xml:space="preserve">当前，我国生猪育种对标国际面临料重比高、生长慢、选育周期长等共性瓶颈，制约养猪降本增效与种源自主可控。主要还是由于个体采食量测定站建设和运行成本高、数据采集周期长，导致料 肉比等关键性状表型不足，制约低料肉比快长型父本选育。同时，现有猪主要病毒性腹泻病（PEDV/ PoRV/GETV）疫苗保护力不足，导致仔猪高死亡率等共性问题也制约生猪产业高效发展。 </w:t>
            </w:r>
          </w:p>
          <w:p w14:paraId="685CF3B9">
            <w:pPr>
              <w:keepNext w:val="0"/>
              <w:keepLines w:val="0"/>
              <w:pageBreakBefore w:val="0"/>
              <w:kinsoku/>
              <w:overflowPunct/>
              <w:topLinePunct w:val="0"/>
              <w:autoSpaceDE/>
              <w:autoSpaceDN/>
              <w:bidi w:val="0"/>
              <w:adjustRightInd w:val="0"/>
              <w:snapToGrid w:val="0"/>
              <w:spacing w:line="500" w:lineRule="exact"/>
              <w:ind w:firstLine="514" w:firstLineChars="200"/>
              <w:jc w:val="left"/>
              <w:rPr>
                <w:rFonts w:hint="eastAsia" w:ascii="仿宋_GB2312" w:hAnsi="仿宋_GB2312" w:cs="仿宋_GB2312"/>
                <w:sz w:val="24"/>
                <w:u w:val="none"/>
                <w:lang w:val="en-US" w:eastAsia="zh-CN" w:bidi="ar"/>
              </w:rPr>
            </w:pPr>
            <w:r>
              <w:rPr>
                <w:rFonts w:hint="eastAsia" w:ascii="仿宋_GB2312" w:hAnsi="仿宋_GB2312" w:cs="仿宋_GB2312"/>
                <w:sz w:val="24"/>
                <w:u w:val="none"/>
                <w:lang w:val="en-US" w:eastAsia="zh-CN" w:bidi="ar"/>
              </w:rPr>
              <w:t xml:space="preserve">针对上述难题，拟需求攻关如下： </w:t>
            </w:r>
          </w:p>
          <w:p w14:paraId="14ADAD14">
            <w:pPr>
              <w:keepNext w:val="0"/>
              <w:keepLines w:val="0"/>
              <w:pageBreakBefore w:val="0"/>
              <w:kinsoku/>
              <w:overflowPunct/>
              <w:topLinePunct w:val="0"/>
              <w:autoSpaceDE/>
              <w:autoSpaceDN/>
              <w:bidi w:val="0"/>
              <w:adjustRightInd w:val="0"/>
              <w:snapToGrid w:val="0"/>
              <w:spacing w:line="500" w:lineRule="exact"/>
              <w:ind w:firstLine="514" w:firstLineChars="200"/>
              <w:jc w:val="left"/>
              <w:rPr>
                <w:rFonts w:hint="eastAsia" w:ascii="仿宋_GB2312" w:hAnsi="仿宋_GB2312" w:cs="仿宋_GB2312"/>
                <w:sz w:val="24"/>
                <w:u w:val="none"/>
                <w:lang w:val="en-US" w:eastAsia="zh-CN" w:bidi="ar"/>
              </w:rPr>
            </w:pPr>
            <w:r>
              <w:rPr>
                <w:rFonts w:hint="eastAsia" w:ascii="仿宋_GB2312" w:hAnsi="仿宋_GB2312" w:cs="仿宋_GB2312"/>
                <w:sz w:val="24"/>
                <w:u w:val="none"/>
                <w:lang w:val="en-US" w:eastAsia="zh-CN" w:bidi="ar"/>
              </w:rPr>
              <w:t xml:space="preserve">一是对现有杜洛克父本种群开展精准鉴定，挖掘优势基因，建立核心育种基础群； </w:t>
            </w:r>
          </w:p>
          <w:p w14:paraId="2980BD7F">
            <w:pPr>
              <w:keepNext w:val="0"/>
              <w:keepLines w:val="0"/>
              <w:pageBreakBefore w:val="0"/>
              <w:kinsoku/>
              <w:overflowPunct/>
              <w:topLinePunct w:val="0"/>
              <w:autoSpaceDE/>
              <w:autoSpaceDN/>
              <w:bidi w:val="0"/>
              <w:adjustRightInd w:val="0"/>
              <w:snapToGrid w:val="0"/>
              <w:spacing w:line="500" w:lineRule="exact"/>
              <w:ind w:firstLine="514" w:firstLineChars="200"/>
              <w:jc w:val="left"/>
              <w:rPr>
                <w:rFonts w:hint="eastAsia" w:ascii="仿宋_GB2312" w:hAnsi="仿宋_GB2312" w:cs="仿宋_GB2312"/>
                <w:sz w:val="24"/>
                <w:u w:val="none"/>
                <w:lang w:val="en-US" w:eastAsia="zh-CN" w:bidi="ar"/>
              </w:rPr>
            </w:pPr>
            <w:r>
              <w:rPr>
                <w:rFonts w:hint="eastAsia" w:ascii="仿宋_GB2312" w:hAnsi="仿宋_GB2312" w:cs="仿宋_GB2312"/>
                <w:sz w:val="24"/>
                <w:u w:val="none"/>
                <w:lang w:val="en-US" w:eastAsia="zh-CN" w:bidi="ar"/>
              </w:rPr>
              <w:t xml:space="preserve">二是通过电子饲喂站实现个体精准采食，系统采集个体数据。集合基因组信息开展BLUP/ssGBLUP 遗传评估，挖掘饲料转化效率相关优势基因和分子标记； </w:t>
            </w:r>
          </w:p>
          <w:p w14:paraId="62B2D963">
            <w:pPr>
              <w:keepNext w:val="0"/>
              <w:keepLines w:val="0"/>
              <w:pageBreakBefore w:val="0"/>
              <w:kinsoku/>
              <w:overflowPunct/>
              <w:topLinePunct w:val="0"/>
              <w:autoSpaceDE/>
              <w:autoSpaceDN/>
              <w:bidi w:val="0"/>
              <w:adjustRightInd w:val="0"/>
              <w:snapToGrid w:val="0"/>
              <w:spacing w:line="500" w:lineRule="exact"/>
              <w:ind w:firstLine="514" w:firstLineChars="200"/>
              <w:jc w:val="left"/>
              <w:rPr>
                <w:rFonts w:hint="eastAsia" w:ascii="仿宋_GB2312" w:hAnsi="仿宋_GB2312" w:cs="仿宋_GB2312"/>
                <w:sz w:val="24"/>
                <w:u w:val="none"/>
                <w:lang w:val="en-US" w:eastAsia="zh-CN" w:bidi="ar"/>
              </w:rPr>
            </w:pPr>
            <w:r>
              <w:rPr>
                <w:rFonts w:hint="eastAsia" w:ascii="仿宋_GB2312" w:hAnsi="仿宋_GB2312" w:cs="仿宋_GB2312"/>
                <w:sz w:val="24"/>
                <w:u w:val="none"/>
                <w:lang w:val="en-US" w:eastAsia="zh-CN" w:bidi="ar"/>
              </w:rPr>
              <w:t xml:space="preserve">三是建立低料肉比、多性状协同选择指数，培育低料肉比快长型杜洛克终端父本品系，最终选育出快长型杜洛克父本品系，大大提高种猪生产性能； </w:t>
            </w:r>
          </w:p>
          <w:p w14:paraId="7985386C">
            <w:pPr>
              <w:keepNext w:val="0"/>
              <w:keepLines w:val="0"/>
              <w:pageBreakBefore w:val="0"/>
              <w:kinsoku/>
              <w:overflowPunct/>
              <w:topLinePunct w:val="0"/>
              <w:autoSpaceDE/>
              <w:autoSpaceDN/>
              <w:bidi w:val="0"/>
              <w:adjustRightInd w:val="0"/>
              <w:snapToGrid w:val="0"/>
              <w:spacing w:line="500" w:lineRule="exact"/>
              <w:ind w:firstLine="514" w:firstLineChars="200"/>
              <w:jc w:val="left"/>
              <w:rPr>
                <w:rFonts w:hint="eastAsia" w:ascii="仿宋_GB2312" w:hAnsi="仿宋_GB2312" w:cs="仿宋_GB2312"/>
                <w:sz w:val="24"/>
                <w:u w:val="none"/>
                <w:lang w:val="en-US" w:eastAsia="zh-CN" w:bidi="ar"/>
              </w:rPr>
            </w:pPr>
            <w:r>
              <w:rPr>
                <w:rFonts w:hint="eastAsia" w:ascii="仿宋_GB2312" w:hAnsi="仿宋_GB2312" w:cs="仿宋_GB2312"/>
                <w:sz w:val="24"/>
                <w:u w:val="none"/>
                <w:lang w:val="en-US" w:eastAsia="zh-CN" w:bidi="ar"/>
              </w:rPr>
              <w:t xml:space="preserve">四是针对当前流行优势基因型，研发PEDV/PoRV/GETV亚单位疫苗，并优化疫苗配伍与黏膜免疫递送工艺，解决防控难题。 </w:t>
            </w:r>
          </w:p>
          <w:p w14:paraId="0EC00DA8">
            <w:pPr>
              <w:keepNext w:val="0"/>
              <w:keepLines w:val="0"/>
              <w:pageBreakBefore w:val="0"/>
              <w:kinsoku/>
              <w:overflowPunct/>
              <w:topLinePunct w:val="0"/>
              <w:autoSpaceDE/>
              <w:autoSpaceDN/>
              <w:bidi w:val="0"/>
              <w:adjustRightInd w:val="0"/>
              <w:snapToGrid w:val="0"/>
              <w:spacing w:line="500" w:lineRule="exact"/>
              <w:ind w:firstLine="514" w:firstLineChars="200"/>
              <w:jc w:val="left"/>
              <w:rPr>
                <w:rFonts w:ascii="仿宋_GB2312" w:hAnsi="仿宋_GB2312" w:cs="仿宋_GB2312"/>
                <w:sz w:val="24"/>
                <w:u w:val="none"/>
              </w:rPr>
            </w:pPr>
            <w:r>
              <w:rPr>
                <w:rFonts w:hint="eastAsia" w:ascii="仿宋_GB2312" w:hAnsi="仿宋_GB2312" w:cs="仿宋_GB2312"/>
                <w:sz w:val="24"/>
                <w:u w:val="none"/>
                <w:lang w:val="en-US" w:eastAsia="zh-CN" w:bidi="ar"/>
              </w:rPr>
              <w:t>成果可直接应用于各类规模化猪场的种猪选育，实现对猪主要病毒性腹泻疾病高效防控，对提升我省乃至我国生猪产业核心竞争力具有重大现实意义。</w:t>
            </w:r>
          </w:p>
        </w:tc>
      </w:tr>
      <w:tr w14:paraId="48B3DF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322" w:hRule="atLeast"/>
          <w:jc w:val="center"/>
        </w:trPr>
        <w:tc>
          <w:tcPr>
            <w:tcW w:w="1175"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79FFFCD5">
            <w:pPr>
              <w:keepNext w:val="0"/>
              <w:keepLines w:val="0"/>
              <w:pageBreakBefore w:val="0"/>
              <w:kinsoku/>
              <w:overflowPunct/>
              <w:topLinePunct w:val="0"/>
              <w:autoSpaceDE/>
              <w:autoSpaceDN/>
              <w:bidi w:val="0"/>
              <w:adjustRightInd w:val="0"/>
              <w:snapToGrid w:val="0"/>
              <w:spacing w:line="500" w:lineRule="exact"/>
              <w:jc w:val="center"/>
              <w:rPr>
                <w:rFonts w:ascii="仿宋_GB2312" w:hAnsi="仿宋_GB2312" w:cs="仿宋_GB2312"/>
                <w:sz w:val="24"/>
                <w:u w:val="none"/>
              </w:rPr>
            </w:pPr>
            <w:r>
              <w:rPr>
                <w:rFonts w:hint="eastAsia" w:ascii="仿宋_GB2312" w:hAnsi="仿宋_GB2312" w:cs="仿宋_GB2312"/>
                <w:sz w:val="24"/>
                <w:u w:val="none"/>
                <w:lang w:bidi="ar"/>
              </w:rPr>
              <w:t>技术攻关后希望达到的预期技术目标（限500字以内）</w:t>
            </w:r>
          </w:p>
        </w:tc>
        <w:tc>
          <w:tcPr>
            <w:tcW w:w="7628" w:type="dxa"/>
            <w:gridSpan w:val="3"/>
            <w:tcBorders>
              <w:top w:val="single" w:color="auto" w:sz="6" w:space="0"/>
              <w:left w:val="single" w:color="auto" w:sz="6" w:space="0"/>
              <w:bottom w:val="single" w:color="auto" w:sz="6" w:space="0"/>
              <w:right w:val="single" w:color="auto" w:sz="6" w:space="0"/>
            </w:tcBorders>
            <w:shd w:val="clear" w:color="auto" w:fill="FFFFFF"/>
            <w:noWrap w:val="0"/>
            <w:vAlign w:val="center"/>
          </w:tcPr>
          <w:p w14:paraId="361A2DDF">
            <w:pPr>
              <w:keepNext w:val="0"/>
              <w:keepLines w:val="0"/>
              <w:pageBreakBefore w:val="0"/>
              <w:kinsoku/>
              <w:overflowPunct/>
              <w:topLinePunct w:val="0"/>
              <w:autoSpaceDE/>
              <w:autoSpaceDN/>
              <w:bidi w:val="0"/>
              <w:adjustRightInd w:val="0"/>
              <w:snapToGrid w:val="0"/>
              <w:spacing w:line="500" w:lineRule="exact"/>
              <w:ind w:firstLine="514" w:firstLineChars="200"/>
              <w:jc w:val="left"/>
              <w:rPr>
                <w:rFonts w:hint="default" w:ascii="仿宋_GB2312" w:hAnsi="仿宋_GB2312" w:cs="仿宋_GB2312"/>
                <w:b/>
                <w:bCs/>
                <w:sz w:val="24"/>
                <w:u w:val="none"/>
                <w:lang w:val="en-US" w:eastAsia="zh-CN" w:bidi="ar"/>
              </w:rPr>
            </w:pPr>
            <w:r>
              <w:rPr>
                <w:rFonts w:hint="default" w:ascii="仿宋_GB2312" w:hAnsi="仿宋_GB2312" w:cs="仿宋_GB2312"/>
                <w:b/>
                <w:bCs/>
                <w:sz w:val="24"/>
                <w:u w:val="none"/>
                <w:lang w:val="en-US" w:eastAsia="zh-CN" w:bidi="ar"/>
              </w:rPr>
              <w:t>一、核心目标</w:t>
            </w:r>
          </w:p>
          <w:p w14:paraId="25EF28ED">
            <w:pPr>
              <w:keepNext w:val="0"/>
              <w:keepLines w:val="0"/>
              <w:pageBreakBefore w:val="0"/>
              <w:kinsoku/>
              <w:overflowPunct/>
              <w:topLinePunct w:val="0"/>
              <w:autoSpaceDE/>
              <w:autoSpaceDN/>
              <w:bidi w:val="0"/>
              <w:adjustRightInd w:val="0"/>
              <w:snapToGrid w:val="0"/>
              <w:spacing w:line="500" w:lineRule="exact"/>
              <w:ind w:firstLine="514" w:firstLineChars="200"/>
              <w:jc w:val="left"/>
              <w:rPr>
                <w:rFonts w:hint="default" w:ascii="仿宋_GB2312" w:hAnsi="仿宋_GB2312" w:cs="仿宋_GB2312"/>
                <w:sz w:val="24"/>
                <w:u w:val="none"/>
                <w:lang w:val="en-US" w:eastAsia="zh-CN" w:bidi="ar"/>
              </w:rPr>
            </w:pPr>
            <w:r>
              <w:rPr>
                <w:rFonts w:hint="default" w:ascii="仿宋_GB2312" w:hAnsi="仿宋_GB2312" w:cs="仿宋_GB2312"/>
                <w:sz w:val="24"/>
                <w:u w:val="none"/>
                <w:lang w:val="en-US" w:eastAsia="zh-CN" w:bidi="ar"/>
              </w:rPr>
              <w:t>技术攻关后，建设个体采食量、料肉比、生长速度、背膘厚、眼肌面积等关键性状的精准测定与遗传评估体系，突破低料肉比杜洛克终端父本持续选育的群体、数据和模型瓶颈。同时，实现对猪主要病毒性腹泻病（PEDV、PoRV、GETV）单一或混合感染的高效防控。</w:t>
            </w:r>
          </w:p>
          <w:p w14:paraId="167A60F9">
            <w:pPr>
              <w:keepNext w:val="0"/>
              <w:keepLines w:val="0"/>
              <w:pageBreakBefore w:val="0"/>
              <w:kinsoku/>
              <w:overflowPunct/>
              <w:topLinePunct w:val="0"/>
              <w:autoSpaceDE/>
              <w:autoSpaceDN/>
              <w:bidi w:val="0"/>
              <w:adjustRightInd w:val="0"/>
              <w:snapToGrid w:val="0"/>
              <w:spacing w:line="500" w:lineRule="exact"/>
              <w:ind w:firstLine="514" w:firstLineChars="200"/>
              <w:jc w:val="left"/>
              <w:rPr>
                <w:rFonts w:hint="default" w:ascii="仿宋_GB2312" w:hAnsi="仿宋_GB2312" w:cs="仿宋_GB2312"/>
                <w:b/>
                <w:bCs/>
                <w:sz w:val="24"/>
                <w:u w:val="none"/>
                <w:lang w:val="en-US" w:eastAsia="zh-CN" w:bidi="ar"/>
              </w:rPr>
            </w:pPr>
            <w:r>
              <w:rPr>
                <w:rFonts w:hint="default" w:ascii="仿宋_GB2312" w:hAnsi="仿宋_GB2312" w:cs="仿宋_GB2312"/>
                <w:b/>
                <w:bCs/>
                <w:sz w:val="24"/>
                <w:u w:val="none"/>
                <w:lang w:val="en-US" w:eastAsia="zh-CN" w:bidi="ar"/>
              </w:rPr>
              <w:t>二、技术指标</w:t>
            </w:r>
          </w:p>
          <w:p w14:paraId="1466A950">
            <w:pPr>
              <w:keepNext w:val="0"/>
              <w:keepLines w:val="0"/>
              <w:pageBreakBefore w:val="0"/>
              <w:kinsoku/>
              <w:overflowPunct/>
              <w:topLinePunct w:val="0"/>
              <w:autoSpaceDE/>
              <w:autoSpaceDN/>
              <w:bidi w:val="0"/>
              <w:adjustRightInd w:val="0"/>
              <w:snapToGrid w:val="0"/>
              <w:spacing w:line="500" w:lineRule="exact"/>
              <w:ind w:firstLine="514" w:firstLineChars="200"/>
              <w:jc w:val="left"/>
              <w:rPr>
                <w:rFonts w:hint="default" w:ascii="仿宋_GB2312" w:hAnsi="仿宋_GB2312" w:cs="仿宋_GB2312"/>
                <w:sz w:val="24"/>
                <w:u w:val="none"/>
                <w:lang w:val="en-US" w:eastAsia="zh-CN" w:bidi="ar"/>
              </w:rPr>
            </w:pPr>
            <w:r>
              <w:rPr>
                <w:rFonts w:hint="default" w:ascii="仿宋_GB2312" w:hAnsi="仿宋_GB2312" w:cs="仿宋_GB2312"/>
                <w:sz w:val="24"/>
                <w:u w:val="none"/>
                <w:lang w:val="en-US" w:eastAsia="zh-CN" w:bidi="ar"/>
              </w:rPr>
              <w:t>1.杜洛克</w:t>
            </w:r>
            <w:r>
              <w:rPr>
                <w:rFonts w:hint="eastAsia" w:ascii="仿宋_GB2312" w:hAnsi="仿宋_GB2312" w:cs="仿宋_GB2312"/>
                <w:sz w:val="24"/>
                <w:u w:val="none"/>
                <w:lang w:val="en-US" w:eastAsia="zh-CN" w:bidi="ar"/>
              </w:rPr>
              <w:t>公猪</w:t>
            </w:r>
            <w:r>
              <w:rPr>
                <w:rFonts w:hint="default" w:ascii="仿宋_GB2312" w:hAnsi="仿宋_GB2312" w:cs="仿宋_GB2312"/>
                <w:sz w:val="24"/>
                <w:u w:val="none"/>
                <w:lang w:val="en-US" w:eastAsia="zh-CN" w:bidi="ar"/>
              </w:rPr>
              <w:t>料比测定年平均2500头以上</w:t>
            </w:r>
            <w:r>
              <w:rPr>
                <w:rFonts w:hint="eastAsia" w:ascii="仿宋_GB2312" w:hAnsi="仿宋_GB2312" w:cs="仿宋_GB2312"/>
                <w:sz w:val="24"/>
                <w:u w:val="none"/>
                <w:lang w:val="en-US" w:eastAsia="zh-CN" w:bidi="ar"/>
              </w:rPr>
              <w:t>，项目期</w:t>
            </w:r>
            <w:r>
              <w:rPr>
                <w:rFonts w:hint="default" w:ascii="仿宋_GB2312" w:hAnsi="仿宋_GB2312" w:cs="仿宋_GB2312"/>
                <w:sz w:val="24"/>
                <w:u w:val="none"/>
                <w:lang w:val="en-US" w:eastAsia="zh-CN" w:bidi="ar"/>
              </w:rPr>
              <w:t>最后1年平均料比低于2.1，校正120kg日龄维持在156天以下，校正背膘厚控制在11.0mm</w:t>
            </w:r>
            <w:r>
              <w:rPr>
                <w:rFonts w:hint="eastAsia" w:ascii="仿宋_GB2312" w:hAnsi="仿宋_GB2312" w:cs="仿宋_GB2312"/>
                <w:sz w:val="24"/>
                <w:u w:val="none"/>
                <w:lang w:val="en-US" w:eastAsia="zh-CN" w:bidi="ar"/>
              </w:rPr>
              <w:t>以下；</w:t>
            </w:r>
          </w:p>
          <w:p w14:paraId="62DA868C">
            <w:pPr>
              <w:keepNext w:val="0"/>
              <w:keepLines w:val="0"/>
              <w:pageBreakBefore w:val="0"/>
              <w:kinsoku/>
              <w:overflowPunct/>
              <w:topLinePunct w:val="0"/>
              <w:autoSpaceDE/>
              <w:autoSpaceDN/>
              <w:bidi w:val="0"/>
              <w:adjustRightInd w:val="0"/>
              <w:snapToGrid w:val="0"/>
              <w:spacing w:line="500" w:lineRule="exact"/>
              <w:ind w:firstLine="514" w:firstLineChars="200"/>
              <w:jc w:val="left"/>
              <w:rPr>
                <w:rFonts w:hint="default" w:ascii="仿宋_GB2312" w:hAnsi="仿宋_GB2312" w:cs="仿宋_GB2312"/>
                <w:sz w:val="24"/>
                <w:u w:val="none"/>
                <w:lang w:val="en-US" w:eastAsia="zh-CN" w:bidi="ar"/>
              </w:rPr>
            </w:pPr>
            <w:r>
              <w:rPr>
                <w:rFonts w:hint="default" w:ascii="仿宋_GB2312" w:hAnsi="仿宋_GB2312" w:cs="仿宋_GB2312"/>
                <w:sz w:val="24"/>
                <w:u w:val="none"/>
                <w:lang w:val="en-US" w:eastAsia="zh-CN" w:bidi="ar"/>
              </w:rPr>
              <w:t>2.构建适配杜洛克核心群的BLUP/ssGBLUP遗传评估模型，挖掘并验证3-5个与饲料转化效率、生长速度显著关联的功能基因、QTL或分子标记；</w:t>
            </w:r>
          </w:p>
          <w:p w14:paraId="6AE993C1">
            <w:pPr>
              <w:keepNext w:val="0"/>
              <w:keepLines w:val="0"/>
              <w:pageBreakBefore w:val="0"/>
              <w:kinsoku/>
              <w:overflowPunct/>
              <w:topLinePunct w:val="0"/>
              <w:autoSpaceDE/>
              <w:autoSpaceDN/>
              <w:bidi w:val="0"/>
              <w:adjustRightInd w:val="0"/>
              <w:snapToGrid w:val="0"/>
              <w:spacing w:line="500" w:lineRule="exact"/>
              <w:ind w:firstLine="514" w:firstLineChars="200"/>
              <w:jc w:val="left"/>
              <w:rPr>
                <w:rFonts w:hint="default" w:ascii="仿宋_GB2312" w:hAnsi="仿宋_GB2312" w:cs="仿宋_GB2312"/>
                <w:sz w:val="24"/>
                <w:u w:val="none"/>
                <w:lang w:val="en-US" w:eastAsia="zh-CN" w:bidi="ar"/>
              </w:rPr>
            </w:pPr>
            <w:r>
              <w:rPr>
                <w:rFonts w:hint="default" w:ascii="仿宋_GB2312" w:hAnsi="仿宋_GB2312" w:cs="仿宋_GB2312"/>
                <w:sz w:val="24"/>
                <w:u w:val="none"/>
                <w:lang w:val="en-US" w:eastAsia="zh-CN" w:bidi="ar"/>
              </w:rPr>
              <w:t>3.疫苗常规剂量及超剂量接种无明显局部和全身不良反应；首免后21天PEDV、PoRV各型别中和抗体阳转率≥80%，二免后7～14天滴度达1:32～1:64；GETV免疫后28天抗体阳性率≥80%；各病毒保护率≥80%，免疫持续期≥4个月</w:t>
            </w:r>
            <w:r>
              <w:rPr>
                <w:rFonts w:hint="eastAsia" w:ascii="仿宋_GB2312" w:hAnsi="仿宋_GB2312" w:cs="仿宋_GB2312"/>
                <w:sz w:val="24"/>
                <w:u w:val="none"/>
                <w:lang w:val="en-US" w:eastAsia="zh-CN" w:bidi="ar"/>
              </w:rPr>
              <w:t>。</w:t>
            </w:r>
          </w:p>
          <w:p w14:paraId="358A9147">
            <w:pPr>
              <w:keepNext w:val="0"/>
              <w:keepLines w:val="0"/>
              <w:pageBreakBefore w:val="0"/>
              <w:kinsoku/>
              <w:overflowPunct/>
              <w:topLinePunct w:val="0"/>
              <w:autoSpaceDE/>
              <w:autoSpaceDN/>
              <w:bidi w:val="0"/>
              <w:adjustRightInd w:val="0"/>
              <w:snapToGrid w:val="0"/>
              <w:spacing w:line="500" w:lineRule="exact"/>
              <w:ind w:firstLine="514" w:firstLineChars="200"/>
              <w:jc w:val="left"/>
              <w:rPr>
                <w:rFonts w:hint="default" w:ascii="仿宋_GB2312" w:hAnsi="仿宋_GB2312" w:cs="仿宋_GB2312"/>
                <w:b/>
                <w:bCs/>
                <w:sz w:val="24"/>
                <w:u w:val="none"/>
                <w:lang w:val="en-US" w:eastAsia="zh-CN" w:bidi="ar"/>
              </w:rPr>
            </w:pPr>
            <w:r>
              <w:rPr>
                <w:rFonts w:hint="default" w:ascii="仿宋_GB2312" w:hAnsi="仿宋_GB2312" w:cs="仿宋_GB2312"/>
                <w:b/>
                <w:bCs/>
                <w:sz w:val="24"/>
                <w:u w:val="none"/>
                <w:lang w:val="en-US" w:eastAsia="zh-CN" w:bidi="ar"/>
              </w:rPr>
              <w:t>三、边界条件</w:t>
            </w:r>
          </w:p>
          <w:p w14:paraId="3C8565DD">
            <w:pPr>
              <w:keepNext w:val="0"/>
              <w:keepLines w:val="0"/>
              <w:pageBreakBefore w:val="0"/>
              <w:kinsoku/>
              <w:overflowPunct/>
              <w:topLinePunct w:val="0"/>
              <w:autoSpaceDE/>
              <w:autoSpaceDN/>
              <w:bidi w:val="0"/>
              <w:adjustRightInd w:val="0"/>
              <w:snapToGrid w:val="0"/>
              <w:spacing w:line="500" w:lineRule="exact"/>
              <w:ind w:firstLine="514" w:firstLineChars="200"/>
              <w:jc w:val="left"/>
              <w:rPr>
                <w:rFonts w:hint="default" w:ascii="仿宋_GB2312" w:hAnsi="仿宋_GB2312" w:cs="仿宋_GB2312"/>
                <w:sz w:val="24"/>
                <w:u w:val="none"/>
                <w:lang w:val="en-US" w:eastAsia="zh-CN" w:bidi="ar"/>
              </w:rPr>
            </w:pPr>
            <w:r>
              <w:rPr>
                <w:rFonts w:hint="default" w:ascii="仿宋_GB2312" w:hAnsi="仿宋_GB2312" w:cs="仿宋_GB2312"/>
                <w:sz w:val="24"/>
                <w:u w:val="none"/>
                <w:lang w:val="en-US" w:eastAsia="zh-CN" w:bidi="ar"/>
              </w:rPr>
              <w:t>1. 选育成本控制在可商业化应用范围内，技术能够批量用于杜洛克核心群种猪的选育。</w:t>
            </w:r>
          </w:p>
          <w:p w14:paraId="5BCE7AA0">
            <w:pPr>
              <w:keepNext w:val="0"/>
              <w:keepLines w:val="0"/>
              <w:pageBreakBefore w:val="0"/>
              <w:kinsoku/>
              <w:overflowPunct/>
              <w:topLinePunct w:val="0"/>
              <w:autoSpaceDE/>
              <w:autoSpaceDN/>
              <w:bidi w:val="0"/>
              <w:adjustRightInd w:val="0"/>
              <w:snapToGrid w:val="0"/>
              <w:spacing w:line="500" w:lineRule="exact"/>
              <w:ind w:firstLine="514" w:firstLineChars="200"/>
              <w:jc w:val="left"/>
              <w:rPr>
                <w:rFonts w:hint="default" w:ascii="仿宋_GB2312" w:hAnsi="仿宋_GB2312" w:cs="仿宋_GB2312"/>
                <w:sz w:val="24"/>
                <w:u w:val="none"/>
                <w:lang w:val="en-US" w:eastAsia="zh-CN" w:bidi="ar"/>
              </w:rPr>
            </w:pPr>
            <w:r>
              <w:rPr>
                <w:rFonts w:hint="default" w:ascii="仿宋_GB2312" w:hAnsi="仿宋_GB2312" w:cs="仿宋_GB2312"/>
                <w:sz w:val="24"/>
                <w:u w:val="none"/>
                <w:lang w:val="en-US" w:eastAsia="zh-CN" w:bidi="ar"/>
              </w:rPr>
              <w:t>2. 研</w:t>
            </w:r>
            <w:r>
              <w:rPr>
                <w:rFonts w:hint="eastAsia" w:ascii="仿宋_GB2312" w:hAnsi="仿宋_GB2312" w:cs="仿宋_GB2312"/>
                <w:sz w:val="24"/>
                <w:u w:val="none"/>
                <w:lang w:val="en-US" w:eastAsia="zh-CN" w:bidi="ar"/>
              </w:rPr>
              <w:t>发</w:t>
            </w:r>
            <w:r>
              <w:rPr>
                <w:rFonts w:hint="default" w:ascii="仿宋_GB2312" w:hAnsi="仿宋_GB2312" w:cs="仿宋_GB2312"/>
                <w:sz w:val="24"/>
                <w:u w:val="none"/>
                <w:lang w:val="en-US" w:eastAsia="zh-CN" w:bidi="ar"/>
              </w:rPr>
              <w:t>安全、高效、性价比高的PEDV、PoRV、GETV亚单位疫苗。</w:t>
            </w:r>
          </w:p>
          <w:p w14:paraId="1D2098D2">
            <w:pPr>
              <w:keepNext w:val="0"/>
              <w:keepLines w:val="0"/>
              <w:pageBreakBefore w:val="0"/>
              <w:kinsoku/>
              <w:overflowPunct/>
              <w:topLinePunct w:val="0"/>
              <w:autoSpaceDE/>
              <w:autoSpaceDN/>
              <w:bidi w:val="0"/>
              <w:adjustRightInd w:val="0"/>
              <w:snapToGrid w:val="0"/>
              <w:spacing w:line="500" w:lineRule="exact"/>
              <w:ind w:firstLine="514" w:firstLineChars="200"/>
              <w:jc w:val="left"/>
              <w:rPr>
                <w:rFonts w:hint="default" w:ascii="仿宋_GB2312" w:hAnsi="仿宋_GB2312" w:cs="仿宋_GB2312"/>
                <w:b/>
                <w:bCs/>
                <w:sz w:val="24"/>
                <w:u w:val="none"/>
                <w:lang w:val="en-US" w:eastAsia="zh-CN" w:bidi="ar"/>
              </w:rPr>
            </w:pPr>
            <w:r>
              <w:rPr>
                <w:rFonts w:hint="default" w:ascii="仿宋_GB2312" w:hAnsi="仿宋_GB2312" w:cs="仿宋_GB2312"/>
                <w:b/>
                <w:bCs/>
                <w:sz w:val="24"/>
                <w:u w:val="none"/>
                <w:lang w:val="en-US" w:eastAsia="zh-CN" w:bidi="ar"/>
              </w:rPr>
              <w:t>四、成果指标</w:t>
            </w:r>
          </w:p>
          <w:p w14:paraId="266FA765">
            <w:pPr>
              <w:keepNext w:val="0"/>
              <w:keepLines w:val="0"/>
              <w:pageBreakBefore w:val="0"/>
              <w:kinsoku/>
              <w:overflowPunct/>
              <w:topLinePunct w:val="0"/>
              <w:autoSpaceDE/>
              <w:autoSpaceDN/>
              <w:bidi w:val="0"/>
              <w:adjustRightInd w:val="0"/>
              <w:snapToGrid w:val="0"/>
              <w:spacing w:line="500" w:lineRule="exact"/>
              <w:ind w:firstLine="514" w:firstLineChars="200"/>
              <w:jc w:val="left"/>
              <w:rPr>
                <w:rFonts w:hint="default" w:ascii="仿宋_GB2312" w:hAnsi="仿宋_GB2312" w:cs="仿宋_GB2312"/>
                <w:sz w:val="24"/>
                <w:u w:val="none"/>
                <w:lang w:val="en-US" w:eastAsia="zh-CN" w:bidi="ar"/>
              </w:rPr>
            </w:pPr>
            <w:r>
              <w:rPr>
                <w:rFonts w:hint="default" w:ascii="仿宋_GB2312" w:hAnsi="仿宋_GB2312" w:cs="仿宋_GB2312"/>
                <w:sz w:val="24"/>
                <w:u w:val="none"/>
                <w:lang w:val="en-US" w:eastAsia="zh-CN" w:bidi="ar"/>
              </w:rPr>
              <w:t>1. 选育出快长型杜洛克父本品系1个；</w:t>
            </w:r>
          </w:p>
          <w:p w14:paraId="023EC4D5">
            <w:pPr>
              <w:keepNext w:val="0"/>
              <w:keepLines w:val="0"/>
              <w:pageBreakBefore w:val="0"/>
              <w:kinsoku/>
              <w:overflowPunct/>
              <w:topLinePunct w:val="0"/>
              <w:autoSpaceDE/>
              <w:autoSpaceDN/>
              <w:bidi w:val="0"/>
              <w:adjustRightInd w:val="0"/>
              <w:snapToGrid w:val="0"/>
              <w:spacing w:line="500" w:lineRule="exact"/>
              <w:ind w:firstLine="514" w:firstLineChars="200"/>
              <w:jc w:val="left"/>
              <w:rPr>
                <w:rFonts w:hint="default" w:ascii="仿宋_GB2312" w:hAnsi="仿宋_GB2312" w:cs="仿宋_GB2312"/>
                <w:sz w:val="24"/>
                <w:u w:val="none"/>
                <w:lang w:val="en-US" w:eastAsia="zh-CN" w:bidi="ar"/>
              </w:rPr>
            </w:pPr>
            <w:r>
              <w:rPr>
                <w:rFonts w:hint="default" w:ascii="仿宋_GB2312" w:hAnsi="仿宋_GB2312" w:cs="仿宋_GB2312"/>
                <w:sz w:val="24"/>
                <w:u w:val="none"/>
                <w:lang w:val="en-US" w:eastAsia="zh-CN" w:bidi="ar"/>
              </w:rPr>
              <w:t>2. 完成PEDV、PoRV、GETV亚单位疫苗实验室阶段保护效果评价,保护率≥80%；</w:t>
            </w:r>
          </w:p>
          <w:p w14:paraId="429DA798">
            <w:pPr>
              <w:keepNext w:val="0"/>
              <w:keepLines w:val="0"/>
              <w:pageBreakBefore w:val="0"/>
              <w:kinsoku/>
              <w:overflowPunct/>
              <w:topLinePunct w:val="0"/>
              <w:autoSpaceDE/>
              <w:autoSpaceDN/>
              <w:bidi w:val="0"/>
              <w:adjustRightInd w:val="0"/>
              <w:snapToGrid w:val="0"/>
              <w:spacing w:line="500" w:lineRule="exact"/>
              <w:ind w:firstLine="514" w:firstLineChars="200"/>
              <w:jc w:val="left"/>
              <w:rPr>
                <w:rFonts w:hint="default" w:ascii="仿宋_GB2312" w:hAnsi="仿宋_GB2312" w:cs="仿宋_GB2312"/>
                <w:sz w:val="24"/>
                <w:u w:val="none"/>
                <w:lang w:val="en-US" w:eastAsia="zh-CN" w:bidi="ar"/>
              </w:rPr>
            </w:pPr>
            <w:r>
              <w:rPr>
                <w:rFonts w:hint="default" w:ascii="仿宋_GB2312" w:hAnsi="仿宋_GB2312" w:cs="仿宋_GB2312"/>
                <w:sz w:val="24"/>
                <w:u w:val="none"/>
                <w:lang w:val="en-US" w:eastAsia="zh-CN" w:bidi="ar"/>
              </w:rPr>
              <w:t>3. 申请发明专利2-3项，发表核心期刊论文2-3篇；</w:t>
            </w:r>
          </w:p>
          <w:p w14:paraId="3EB2692B">
            <w:pPr>
              <w:keepNext w:val="0"/>
              <w:keepLines w:val="0"/>
              <w:pageBreakBefore w:val="0"/>
              <w:kinsoku/>
              <w:overflowPunct/>
              <w:topLinePunct w:val="0"/>
              <w:autoSpaceDE/>
              <w:autoSpaceDN/>
              <w:bidi w:val="0"/>
              <w:adjustRightInd w:val="0"/>
              <w:snapToGrid w:val="0"/>
              <w:spacing w:line="500" w:lineRule="exact"/>
              <w:ind w:firstLine="514" w:firstLineChars="200"/>
              <w:jc w:val="left"/>
              <w:rPr>
                <w:rFonts w:hint="default" w:ascii="仿宋_GB2312" w:hAnsi="仿宋_GB2312" w:cs="仿宋_GB2312"/>
                <w:sz w:val="24"/>
                <w:u w:val="none"/>
                <w:lang w:val="en-US" w:eastAsia="zh-CN" w:bidi="ar"/>
              </w:rPr>
            </w:pPr>
            <w:r>
              <w:rPr>
                <w:rFonts w:hint="default" w:ascii="仿宋_GB2312" w:hAnsi="仿宋_GB2312" w:cs="仿宋_GB2312"/>
                <w:sz w:val="24"/>
                <w:u w:val="none"/>
                <w:lang w:val="en-US" w:eastAsia="zh-CN" w:bidi="ar"/>
              </w:rPr>
              <w:t>4. 开展技术培训，培训从业人员500人次以上；</w:t>
            </w:r>
          </w:p>
          <w:p w14:paraId="0F0E12AC">
            <w:pPr>
              <w:keepNext w:val="0"/>
              <w:keepLines w:val="0"/>
              <w:pageBreakBefore w:val="0"/>
              <w:kinsoku/>
              <w:overflowPunct/>
              <w:topLinePunct w:val="0"/>
              <w:autoSpaceDE/>
              <w:autoSpaceDN/>
              <w:bidi w:val="0"/>
              <w:adjustRightInd w:val="0"/>
              <w:snapToGrid w:val="0"/>
              <w:spacing w:line="500" w:lineRule="exact"/>
              <w:ind w:firstLine="514" w:firstLineChars="200"/>
              <w:jc w:val="left"/>
              <w:rPr>
                <w:rFonts w:ascii="仿宋_GB2312" w:hAnsi="仿宋_GB2312" w:cs="仿宋_GB2312"/>
                <w:u w:val="none"/>
              </w:rPr>
            </w:pPr>
            <w:r>
              <w:rPr>
                <w:rFonts w:hint="default" w:ascii="仿宋_GB2312" w:hAnsi="仿宋_GB2312" w:cs="仿宋_GB2312"/>
                <w:sz w:val="24"/>
                <w:u w:val="none"/>
                <w:lang w:val="en-US" w:eastAsia="zh-CN" w:bidi="ar"/>
              </w:rPr>
              <w:t>5. 建立示范基地1-2个，辐射带动出栏生猪10万头以上。</w:t>
            </w:r>
          </w:p>
        </w:tc>
      </w:tr>
      <w:tr w14:paraId="477CA2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863" w:hRule="atLeast"/>
          <w:jc w:val="center"/>
        </w:trPr>
        <w:tc>
          <w:tcPr>
            <w:tcW w:w="1175"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4DCC0870">
            <w:pPr>
              <w:keepNext w:val="0"/>
              <w:keepLines w:val="0"/>
              <w:pageBreakBefore w:val="0"/>
              <w:kinsoku/>
              <w:overflowPunct/>
              <w:topLinePunct w:val="0"/>
              <w:autoSpaceDE/>
              <w:autoSpaceDN/>
              <w:bidi w:val="0"/>
              <w:adjustRightInd w:val="0"/>
              <w:snapToGrid w:val="0"/>
              <w:spacing w:line="500" w:lineRule="exact"/>
              <w:jc w:val="center"/>
              <w:rPr>
                <w:rFonts w:ascii="仿宋_GB2312" w:hAnsi="仿宋_GB2312" w:cs="仿宋_GB2312"/>
                <w:sz w:val="24"/>
                <w:u w:val="none"/>
                <w:lang w:bidi="ar"/>
              </w:rPr>
            </w:pPr>
            <w:r>
              <w:rPr>
                <w:rFonts w:hint="eastAsia" w:ascii="仿宋_GB2312" w:hAnsi="仿宋_GB2312" w:cs="仿宋_GB2312"/>
                <w:sz w:val="24"/>
                <w:u w:val="none"/>
                <w:lang w:bidi="ar"/>
              </w:rPr>
              <w:t>时限</w:t>
            </w:r>
          </w:p>
          <w:p w14:paraId="5B137574">
            <w:pPr>
              <w:keepNext w:val="0"/>
              <w:keepLines w:val="0"/>
              <w:pageBreakBefore w:val="0"/>
              <w:kinsoku/>
              <w:overflowPunct/>
              <w:topLinePunct w:val="0"/>
              <w:autoSpaceDE/>
              <w:autoSpaceDN/>
              <w:bidi w:val="0"/>
              <w:adjustRightInd w:val="0"/>
              <w:snapToGrid w:val="0"/>
              <w:spacing w:line="500" w:lineRule="exact"/>
              <w:jc w:val="center"/>
              <w:rPr>
                <w:rFonts w:ascii="仿宋_GB2312" w:hAnsi="仿宋_GB2312" w:cs="仿宋_GB2312"/>
                <w:sz w:val="24"/>
                <w:u w:val="none"/>
              </w:rPr>
            </w:pPr>
            <w:r>
              <w:rPr>
                <w:rFonts w:hint="eastAsia" w:ascii="仿宋_GB2312" w:hAnsi="仿宋_GB2312" w:cs="仿宋_GB2312"/>
                <w:sz w:val="24"/>
                <w:u w:val="none"/>
                <w:lang w:bidi="ar"/>
              </w:rPr>
              <w:t>要求</w:t>
            </w:r>
          </w:p>
        </w:tc>
        <w:tc>
          <w:tcPr>
            <w:tcW w:w="7628" w:type="dxa"/>
            <w:gridSpan w:val="3"/>
            <w:tcBorders>
              <w:top w:val="single" w:color="auto" w:sz="6" w:space="0"/>
              <w:left w:val="single" w:color="auto" w:sz="6" w:space="0"/>
              <w:bottom w:val="single" w:color="auto" w:sz="6" w:space="0"/>
              <w:right w:val="single" w:color="auto" w:sz="6" w:space="0"/>
            </w:tcBorders>
            <w:shd w:val="clear" w:color="auto" w:fill="FFFFFF"/>
            <w:noWrap w:val="0"/>
            <w:vAlign w:val="center"/>
          </w:tcPr>
          <w:p w14:paraId="485E6118">
            <w:pPr>
              <w:keepNext w:val="0"/>
              <w:keepLines w:val="0"/>
              <w:pageBreakBefore w:val="0"/>
              <w:kinsoku/>
              <w:overflowPunct/>
              <w:topLinePunct w:val="0"/>
              <w:autoSpaceDE/>
              <w:autoSpaceDN/>
              <w:bidi w:val="0"/>
              <w:adjustRightInd w:val="0"/>
              <w:snapToGrid w:val="0"/>
              <w:spacing w:line="500" w:lineRule="exact"/>
              <w:jc w:val="center"/>
              <w:rPr>
                <w:rFonts w:ascii="仿宋_GB2312" w:hAnsi="仿宋_GB2312" w:cs="仿宋_GB2312"/>
                <w:sz w:val="24"/>
                <w:u w:val="none"/>
              </w:rPr>
            </w:pPr>
            <w:r>
              <w:rPr>
                <w:rFonts w:hint="eastAsia" w:ascii="仿宋_GB2312" w:hAnsi="仿宋_GB2312" w:cs="仿宋_GB2312"/>
                <w:sz w:val="24"/>
                <w:u w:val="none"/>
                <w:lang w:bidi="ar"/>
              </w:rPr>
              <w:t>202</w:t>
            </w:r>
            <w:r>
              <w:rPr>
                <w:rFonts w:hint="eastAsia" w:ascii="仿宋_GB2312" w:hAnsi="仿宋_GB2312" w:cs="仿宋_GB2312"/>
                <w:sz w:val="24"/>
                <w:u w:val="none"/>
                <w:lang w:val="en-US" w:eastAsia="zh-CN" w:bidi="ar"/>
              </w:rPr>
              <w:t>9</w:t>
            </w:r>
            <w:r>
              <w:rPr>
                <w:rFonts w:hint="eastAsia" w:ascii="仿宋_GB2312" w:hAnsi="仿宋_GB2312" w:cs="仿宋_GB2312"/>
                <w:sz w:val="24"/>
                <w:u w:val="none"/>
                <w:lang w:bidi="ar"/>
              </w:rPr>
              <w:t>年12月前完成。</w:t>
            </w:r>
          </w:p>
        </w:tc>
      </w:tr>
      <w:tr w14:paraId="0BD32F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12" w:hRule="atLeast"/>
          <w:jc w:val="center"/>
        </w:trPr>
        <w:tc>
          <w:tcPr>
            <w:tcW w:w="8803" w:type="dxa"/>
            <w:gridSpan w:val="4"/>
            <w:tcBorders>
              <w:top w:val="single" w:color="auto" w:sz="6" w:space="0"/>
              <w:left w:val="single" w:color="auto" w:sz="6" w:space="0"/>
              <w:bottom w:val="single" w:color="auto" w:sz="6" w:space="0"/>
              <w:right w:val="single" w:color="auto" w:sz="6" w:space="0"/>
            </w:tcBorders>
            <w:shd w:val="clear" w:color="auto" w:fill="FFFFFF"/>
            <w:noWrap w:val="0"/>
            <w:vAlign w:val="center"/>
          </w:tcPr>
          <w:p w14:paraId="766A7192">
            <w:pPr>
              <w:keepNext w:val="0"/>
              <w:keepLines w:val="0"/>
              <w:pageBreakBefore w:val="0"/>
              <w:kinsoku/>
              <w:overflowPunct/>
              <w:topLinePunct w:val="0"/>
              <w:autoSpaceDE/>
              <w:autoSpaceDN/>
              <w:bidi w:val="0"/>
              <w:adjustRightInd w:val="0"/>
              <w:snapToGrid w:val="0"/>
              <w:spacing w:line="500" w:lineRule="exact"/>
              <w:jc w:val="center"/>
              <w:rPr>
                <w:rFonts w:ascii="仿宋_GB2312" w:hAnsi="仿宋_GB2312" w:cs="仿宋_GB2312"/>
                <w:szCs w:val="32"/>
                <w:u w:val="none"/>
              </w:rPr>
            </w:pPr>
            <w:r>
              <w:rPr>
                <w:rFonts w:hint="eastAsia" w:ascii="仿宋_GB2312" w:hAnsi="仿宋_GB2312" w:cs="仿宋_GB2312"/>
                <w:szCs w:val="32"/>
                <w:u w:val="none"/>
                <w:lang w:bidi="ar"/>
              </w:rPr>
              <w:t>以下信息供揭榜方参考</w:t>
            </w:r>
          </w:p>
          <w:p w14:paraId="53610AF5">
            <w:pPr>
              <w:keepNext w:val="0"/>
              <w:keepLines w:val="0"/>
              <w:pageBreakBefore w:val="0"/>
              <w:kinsoku/>
              <w:overflowPunct/>
              <w:topLinePunct w:val="0"/>
              <w:autoSpaceDE/>
              <w:autoSpaceDN/>
              <w:bidi w:val="0"/>
              <w:adjustRightInd w:val="0"/>
              <w:snapToGrid w:val="0"/>
              <w:spacing w:line="500" w:lineRule="exact"/>
              <w:jc w:val="center"/>
              <w:rPr>
                <w:rFonts w:ascii="仿宋_GB2312" w:hAnsi="仿宋_GB2312" w:cs="仿宋_GB2312"/>
                <w:sz w:val="24"/>
                <w:u w:val="none"/>
              </w:rPr>
            </w:pPr>
            <w:r>
              <w:rPr>
                <w:rFonts w:hint="eastAsia" w:ascii="仿宋_GB2312" w:hAnsi="仿宋_GB2312" w:cs="仿宋_GB2312"/>
                <w:sz w:val="24"/>
                <w:u w:val="none"/>
                <w:lang w:bidi="ar"/>
              </w:rPr>
              <w:t>（揭榜方与福建省技术需求企业联合申报项目，技术需求企业也可以是榜单之外的同行企业）</w:t>
            </w:r>
          </w:p>
        </w:tc>
      </w:tr>
      <w:tr w14:paraId="4BEF71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12" w:hRule="atLeast"/>
          <w:jc w:val="center"/>
        </w:trPr>
        <w:tc>
          <w:tcPr>
            <w:tcW w:w="1763" w:type="dxa"/>
            <w:gridSpan w:val="2"/>
            <w:vMerge w:val="restart"/>
            <w:tcBorders>
              <w:top w:val="single" w:color="auto" w:sz="6" w:space="0"/>
              <w:left w:val="single" w:color="auto" w:sz="6" w:space="0"/>
              <w:bottom w:val="single" w:color="auto" w:sz="6" w:space="0"/>
              <w:right w:val="single" w:color="auto" w:sz="6" w:space="0"/>
            </w:tcBorders>
            <w:shd w:val="clear" w:color="auto" w:fill="FFFFFF"/>
            <w:noWrap w:val="0"/>
            <w:vAlign w:val="center"/>
          </w:tcPr>
          <w:p w14:paraId="1E13E39D">
            <w:pPr>
              <w:keepNext w:val="0"/>
              <w:keepLines w:val="0"/>
              <w:pageBreakBefore w:val="0"/>
              <w:kinsoku/>
              <w:overflowPunct/>
              <w:topLinePunct w:val="0"/>
              <w:autoSpaceDE/>
              <w:autoSpaceDN/>
              <w:bidi w:val="0"/>
              <w:adjustRightInd w:val="0"/>
              <w:snapToGrid w:val="0"/>
              <w:spacing w:line="500" w:lineRule="exact"/>
              <w:jc w:val="center"/>
              <w:rPr>
                <w:rFonts w:ascii="仿宋_GB2312" w:hAnsi="仿宋_GB2312" w:cs="仿宋_GB2312"/>
                <w:sz w:val="24"/>
                <w:u w:val="none"/>
              </w:rPr>
            </w:pPr>
            <w:r>
              <w:rPr>
                <w:rFonts w:hint="eastAsia" w:ascii="仿宋_GB2312" w:hAnsi="仿宋_GB2312" w:cs="仿宋_GB2312"/>
                <w:sz w:val="24"/>
                <w:u w:val="none"/>
                <w:lang w:bidi="ar"/>
              </w:rPr>
              <w:t>技术需求牵头企业（非排他性，可以多个）</w:t>
            </w:r>
          </w:p>
        </w:tc>
        <w:tc>
          <w:tcPr>
            <w:tcW w:w="3511" w:type="dxa"/>
            <w:vMerge w:val="restart"/>
            <w:tcBorders>
              <w:top w:val="single" w:color="auto" w:sz="6" w:space="0"/>
              <w:left w:val="single" w:color="auto" w:sz="6" w:space="0"/>
              <w:bottom w:val="single" w:color="auto" w:sz="6" w:space="0"/>
              <w:right w:val="single" w:color="auto" w:sz="6" w:space="0"/>
            </w:tcBorders>
            <w:shd w:val="clear" w:color="auto" w:fill="FFFFFF"/>
            <w:noWrap w:val="0"/>
            <w:vAlign w:val="center"/>
          </w:tcPr>
          <w:p w14:paraId="7991128E">
            <w:pPr>
              <w:keepNext w:val="0"/>
              <w:keepLines w:val="0"/>
              <w:pageBreakBefore w:val="0"/>
              <w:kinsoku/>
              <w:overflowPunct/>
              <w:topLinePunct w:val="0"/>
              <w:autoSpaceDE/>
              <w:autoSpaceDN/>
              <w:bidi w:val="0"/>
              <w:adjustRightInd w:val="0"/>
              <w:snapToGrid w:val="0"/>
              <w:spacing w:line="500" w:lineRule="exact"/>
              <w:jc w:val="center"/>
              <w:rPr>
                <w:rFonts w:hint="eastAsia" w:ascii="仿宋_GB2312" w:hAnsi="仿宋_GB2312" w:cs="仿宋_GB2312"/>
                <w:sz w:val="24"/>
                <w:u w:val="none"/>
                <w:lang w:val="en-US" w:eastAsia="zh-CN" w:bidi="ar"/>
              </w:rPr>
            </w:pPr>
          </w:p>
          <w:p w14:paraId="0AE3E819">
            <w:pPr>
              <w:keepNext w:val="0"/>
              <w:keepLines w:val="0"/>
              <w:pageBreakBefore w:val="0"/>
              <w:kinsoku/>
              <w:overflowPunct/>
              <w:topLinePunct w:val="0"/>
              <w:autoSpaceDE/>
              <w:autoSpaceDN/>
              <w:bidi w:val="0"/>
              <w:adjustRightInd w:val="0"/>
              <w:snapToGrid w:val="0"/>
              <w:spacing w:line="500" w:lineRule="exact"/>
              <w:jc w:val="center"/>
              <w:rPr>
                <w:rFonts w:hint="eastAsia" w:ascii="仿宋_GB2312" w:hAnsi="仿宋_GB2312" w:cs="仿宋_GB2312"/>
                <w:sz w:val="24"/>
                <w:u w:val="none"/>
                <w:lang w:bidi="ar"/>
              </w:rPr>
            </w:pPr>
            <w:r>
              <w:rPr>
                <w:rFonts w:hint="eastAsia" w:ascii="仿宋_GB2312" w:hAnsi="仿宋_GB2312" w:cs="仿宋_GB2312"/>
                <w:sz w:val="24"/>
                <w:u w:val="none"/>
                <w:lang w:val="en-US" w:eastAsia="zh-CN" w:bidi="ar"/>
              </w:rPr>
              <w:t>福建清流永诚育种科技有限公司</w:t>
            </w:r>
          </w:p>
          <w:p w14:paraId="58B1BCE8">
            <w:pPr>
              <w:keepNext w:val="0"/>
              <w:keepLines w:val="0"/>
              <w:pageBreakBefore w:val="0"/>
              <w:kinsoku/>
              <w:overflowPunct/>
              <w:topLinePunct w:val="0"/>
              <w:autoSpaceDE/>
              <w:autoSpaceDN/>
              <w:bidi w:val="0"/>
              <w:adjustRightInd w:val="0"/>
              <w:snapToGrid w:val="0"/>
              <w:spacing w:line="500" w:lineRule="exact"/>
              <w:jc w:val="center"/>
              <w:rPr>
                <w:rFonts w:ascii="仿宋_GB2312" w:hAnsi="仿宋_GB2312" w:cs="仿宋_GB2312"/>
                <w:sz w:val="24"/>
                <w:u w:val="none"/>
              </w:rPr>
            </w:pPr>
          </w:p>
        </w:tc>
        <w:tc>
          <w:tcPr>
            <w:tcW w:w="3529"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47A3566D">
            <w:pPr>
              <w:keepNext w:val="0"/>
              <w:keepLines w:val="0"/>
              <w:pageBreakBefore w:val="0"/>
              <w:kinsoku/>
              <w:overflowPunct/>
              <w:topLinePunct w:val="0"/>
              <w:autoSpaceDE/>
              <w:autoSpaceDN/>
              <w:bidi w:val="0"/>
              <w:adjustRightInd w:val="0"/>
              <w:snapToGrid w:val="0"/>
              <w:spacing w:line="500" w:lineRule="exact"/>
              <w:jc w:val="center"/>
              <w:rPr>
                <w:rFonts w:ascii="仿宋_GB2312" w:hAnsi="仿宋_GB2312" w:cs="仿宋_GB2312"/>
                <w:sz w:val="24"/>
                <w:u w:val="none"/>
              </w:rPr>
            </w:pPr>
            <w:r>
              <w:rPr>
                <w:rFonts w:hint="eastAsia" w:ascii="仿宋_GB2312" w:hAnsi="仿宋_GB2312" w:cs="仿宋_GB2312"/>
                <w:sz w:val="24"/>
                <w:u w:val="none"/>
                <w:lang w:bidi="ar"/>
              </w:rPr>
              <w:t>单位性质</w:t>
            </w:r>
          </w:p>
        </w:tc>
      </w:tr>
      <w:tr w14:paraId="00A6A4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12" w:hRule="atLeast"/>
          <w:jc w:val="center"/>
        </w:trPr>
        <w:tc>
          <w:tcPr>
            <w:tcW w:w="1763" w:type="dxa"/>
            <w:gridSpan w:val="2"/>
            <w:vMerge w:val="continue"/>
            <w:tcBorders>
              <w:top w:val="single" w:color="auto" w:sz="6" w:space="0"/>
              <w:left w:val="single" w:color="auto" w:sz="6" w:space="0"/>
              <w:bottom w:val="single" w:color="auto" w:sz="6" w:space="0"/>
              <w:right w:val="single" w:color="auto" w:sz="6" w:space="0"/>
            </w:tcBorders>
            <w:shd w:val="clear" w:color="auto" w:fill="FFFFFF"/>
            <w:noWrap w:val="0"/>
            <w:vAlign w:val="center"/>
          </w:tcPr>
          <w:p w14:paraId="1239EDBB">
            <w:pPr>
              <w:keepNext w:val="0"/>
              <w:keepLines w:val="0"/>
              <w:pageBreakBefore w:val="0"/>
              <w:kinsoku/>
              <w:overflowPunct/>
              <w:topLinePunct w:val="0"/>
              <w:autoSpaceDE/>
              <w:autoSpaceDN/>
              <w:bidi w:val="0"/>
              <w:spacing w:line="500" w:lineRule="exact"/>
              <w:rPr>
                <w:rFonts w:ascii="仿宋_GB2312" w:hAnsi="仿宋_GB2312" w:cs="仿宋_GB2312"/>
                <w:sz w:val="20"/>
                <w:szCs w:val="20"/>
                <w:u w:val="none"/>
              </w:rPr>
            </w:pPr>
          </w:p>
        </w:tc>
        <w:tc>
          <w:tcPr>
            <w:tcW w:w="3511" w:type="dxa"/>
            <w:vMerge w:val="continue"/>
            <w:tcBorders>
              <w:top w:val="single" w:color="auto" w:sz="6" w:space="0"/>
              <w:left w:val="single" w:color="auto" w:sz="6" w:space="0"/>
              <w:bottom w:val="single" w:color="auto" w:sz="6" w:space="0"/>
              <w:right w:val="single" w:color="auto" w:sz="6" w:space="0"/>
            </w:tcBorders>
            <w:shd w:val="clear" w:color="auto" w:fill="FFFFFF"/>
            <w:noWrap w:val="0"/>
            <w:vAlign w:val="center"/>
          </w:tcPr>
          <w:p w14:paraId="7F4F0A2A">
            <w:pPr>
              <w:keepNext w:val="0"/>
              <w:keepLines w:val="0"/>
              <w:pageBreakBefore w:val="0"/>
              <w:kinsoku/>
              <w:overflowPunct/>
              <w:topLinePunct w:val="0"/>
              <w:autoSpaceDE/>
              <w:autoSpaceDN/>
              <w:bidi w:val="0"/>
              <w:spacing w:line="500" w:lineRule="exact"/>
              <w:rPr>
                <w:rFonts w:ascii="仿宋_GB2312" w:hAnsi="仿宋_GB2312" w:cs="仿宋_GB2312"/>
                <w:sz w:val="20"/>
                <w:szCs w:val="20"/>
                <w:u w:val="none"/>
              </w:rPr>
            </w:pPr>
          </w:p>
        </w:tc>
        <w:tc>
          <w:tcPr>
            <w:tcW w:w="3529"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1691CA5F">
            <w:pPr>
              <w:keepNext w:val="0"/>
              <w:keepLines w:val="0"/>
              <w:pageBreakBefore w:val="0"/>
              <w:kinsoku/>
              <w:overflowPunct/>
              <w:topLinePunct w:val="0"/>
              <w:autoSpaceDE/>
              <w:autoSpaceDN/>
              <w:bidi w:val="0"/>
              <w:adjustRightInd w:val="0"/>
              <w:snapToGrid w:val="0"/>
              <w:spacing w:line="500" w:lineRule="exact"/>
              <w:jc w:val="center"/>
              <w:rPr>
                <w:rFonts w:ascii="仿宋_GB2312" w:hAnsi="仿宋_GB2312" w:cs="仿宋_GB2312"/>
                <w:sz w:val="24"/>
                <w:u w:val="none"/>
                <w:lang w:bidi="ar"/>
              </w:rPr>
            </w:pPr>
            <w:r>
              <w:rPr>
                <w:rFonts w:hint="eastAsia" w:ascii="仿宋_GB2312" w:hAnsi="仿宋_GB2312" w:cs="仿宋_GB2312"/>
                <w:sz w:val="24"/>
                <w:u w:val="none"/>
                <w:lang w:eastAsia="zh-CN" w:bidi="ar"/>
              </w:rPr>
              <w:t>☑</w:t>
            </w:r>
            <w:r>
              <w:rPr>
                <w:rFonts w:hint="eastAsia" w:ascii="仿宋_GB2312" w:hAnsi="仿宋_GB2312" w:cs="仿宋_GB2312"/>
                <w:sz w:val="24"/>
                <w:u w:val="none"/>
                <w:lang w:bidi="ar"/>
              </w:rPr>
              <w:t>龙头企业 □骨干企业</w:t>
            </w:r>
          </w:p>
          <w:p w14:paraId="0C2146DB">
            <w:pPr>
              <w:keepNext w:val="0"/>
              <w:keepLines w:val="0"/>
              <w:pageBreakBefore w:val="0"/>
              <w:kinsoku/>
              <w:overflowPunct/>
              <w:topLinePunct w:val="0"/>
              <w:autoSpaceDE/>
              <w:autoSpaceDN/>
              <w:bidi w:val="0"/>
              <w:adjustRightInd w:val="0"/>
              <w:snapToGrid w:val="0"/>
              <w:spacing w:line="500" w:lineRule="exact"/>
              <w:jc w:val="center"/>
              <w:rPr>
                <w:rFonts w:ascii="仿宋_GB2312" w:hAnsi="仿宋_GB2312" w:cs="仿宋_GB2312"/>
                <w:sz w:val="24"/>
                <w:u w:val="none"/>
              </w:rPr>
            </w:pPr>
            <w:r>
              <w:rPr>
                <w:rFonts w:hint="eastAsia" w:ascii="仿宋_GB2312" w:hAnsi="仿宋_GB2312" w:cs="仿宋_GB2312"/>
                <w:sz w:val="24"/>
                <w:u w:val="none"/>
                <w:lang w:bidi="ar"/>
              </w:rPr>
              <w:t>（□高新技术企业、□科技型企业）</w:t>
            </w:r>
          </w:p>
        </w:tc>
      </w:tr>
      <w:tr w14:paraId="5F11FE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763" w:type="dxa"/>
            <w:gridSpan w:val="2"/>
            <w:tcBorders>
              <w:top w:val="single" w:color="auto" w:sz="6" w:space="0"/>
              <w:left w:val="single" w:color="auto" w:sz="6" w:space="0"/>
              <w:bottom w:val="single" w:color="auto" w:sz="6" w:space="0"/>
              <w:right w:val="single" w:color="auto" w:sz="6" w:space="0"/>
            </w:tcBorders>
            <w:shd w:val="clear" w:color="auto" w:fill="FFFFFF"/>
            <w:noWrap w:val="0"/>
            <w:vAlign w:val="center"/>
          </w:tcPr>
          <w:p w14:paraId="0E1FB893">
            <w:pPr>
              <w:keepNext w:val="0"/>
              <w:keepLines w:val="0"/>
              <w:pageBreakBefore w:val="0"/>
              <w:kinsoku/>
              <w:overflowPunct/>
              <w:topLinePunct w:val="0"/>
              <w:autoSpaceDE/>
              <w:autoSpaceDN/>
              <w:bidi w:val="0"/>
              <w:adjustRightInd w:val="0"/>
              <w:snapToGrid w:val="0"/>
              <w:spacing w:line="500" w:lineRule="exact"/>
              <w:jc w:val="center"/>
              <w:rPr>
                <w:rFonts w:ascii="仿宋_GB2312" w:hAnsi="仿宋_GB2312" w:cs="仿宋_GB2312"/>
                <w:sz w:val="24"/>
                <w:u w:val="none"/>
              </w:rPr>
            </w:pPr>
            <w:r>
              <w:rPr>
                <w:rFonts w:hint="eastAsia" w:ascii="仿宋_GB2312" w:hAnsi="仿宋_GB2312" w:cs="仿宋_GB2312"/>
                <w:sz w:val="24"/>
                <w:u w:val="none"/>
                <w:lang w:bidi="ar"/>
              </w:rPr>
              <w:t>技术需求牵头企业联系方式</w:t>
            </w:r>
          </w:p>
        </w:tc>
        <w:tc>
          <w:tcPr>
            <w:tcW w:w="7040" w:type="dxa"/>
            <w:gridSpan w:val="2"/>
            <w:tcBorders>
              <w:top w:val="single" w:color="auto" w:sz="6" w:space="0"/>
              <w:left w:val="single" w:color="auto" w:sz="6" w:space="0"/>
              <w:bottom w:val="single" w:color="auto" w:sz="6" w:space="0"/>
              <w:right w:val="single" w:color="auto" w:sz="6" w:space="0"/>
            </w:tcBorders>
            <w:shd w:val="clear" w:color="auto" w:fill="FFFFFF"/>
            <w:noWrap w:val="0"/>
            <w:vAlign w:val="center"/>
          </w:tcPr>
          <w:p w14:paraId="24131173">
            <w:r>
              <w:rPr>
                <w:rFonts w:hint="eastAsia" w:ascii="仿宋_GB2312" w:hAnsi="仿宋_GB2312" w:cs="仿宋_GB2312"/>
                <w:sz w:val="24"/>
                <w:u w:val="none"/>
                <w:lang w:val="en-US" w:eastAsia="zh-CN" w:bidi="ar"/>
              </w:rPr>
              <w:t>丘建龙，18450078015</w:t>
            </w:r>
          </w:p>
          <w:p w14:paraId="1AF72F18">
            <w:pPr>
              <w:keepNext w:val="0"/>
              <w:keepLines w:val="0"/>
              <w:pageBreakBefore w:val="0"/>
              <w:kinsoku/>
              <w:overflowPunct/>
              <w:topLinePunct w:val="0"/>
              <w:autoSpaceDE/>
              <w:autoSpaceDN/>
              <w:bidi w:val="0"/>
              <w:adjustRightInd w:val="0"/>
              <w:snapToGrid w:val="0"/>
              <w:spacing w:line="500" w:lineRule="exact"/>
              <w:jc w:val="center"/>
              <w:rPr>
                <w:rFonts w:ascii="仿宋_GB2312" w:hAnsi="仿宋_GB2312" w:cs="仿宋_GB2312"/>
                <w:szCs w:val="21"/>
                <w:u w:val="none"/>
              </w:rPr>
            </w:pPr>
          </w:p>
        </w:tc>
      </w:tr>
      <w:tr w14:paraId="4E8C76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175" w:type="dxa"/>
            <w:vMerge w:val="restart"/>
            <w:tcBorders>
              <w:top w:val="single" w:color="auto" w:sz="6" w:space="0"/>
              <w:left w:val="single" w:color="auto" w:sz="6" w:space="0"/>
              <w:bottom w:val="single" w:color="auto" w:sz="6" w:space="0"/>
              <w:right w:val="single" w:color="auto" w:sz="6" w:space="0"/>
            </w:tcBorders>
            <w:shd w:val="clear" w:color="auto" w:fill="FFFFFF"/>
            <w:noWrap w:val="0"/>
            <w:vAlign w:val="center"/>
          </w:tcPr>
          <w:p w14:paraId="4D211F6D">
            <w:pPr>
              <w:keepNext w:val="0"/>
              <w:keepLines w:val="0"/>
              <w:pageBreakBefore w:val="0"/>
              <w:kinsoku/>
              <w:overflowPunct/>
              <w:topLinePunct w:val="0"/>
              <w:autoSpaceDE/>
              <w:autoSpaceDN/>
              <w:bidi w:val="0"/>
              <w:adjustRightInd w:val="0"/>
              <w:snapToGrid w:val="0"/>
              <w:spacing w:line="500" w:lineRule="exact"/>
              <w:jc w:val="center"/>
              <w:rPr>
                <w:rFonts w:ascii="仿宋_GB2312" w:hAnsi="仿宋_GB2312" w:cs="仿宋_GB2312"/>
                <w:sz w:val="24"/>
                <w:u w:val="none"/>
              </w:rPr>
            </w:pPr>
            <w:r>
              <w:rPr>
                <w:rFonts w:hint="eastAsia" w:ascii="仿宋_GB2312" w:hAnsi="仿宋_GB2312" w:cs="仿宋_GB2312"/>
                <w:sz w:val="24"/>
                <w:u w:val="none"/>
                <w:lang w:bidi="ar"/>
              </w:rPr>
              <w:t>有共同技术需求的同行企业（非排他性）</w:t>
            </w:r>
          </w:p>
        </w:tc>
        <w:tc>
          <w:tcPr>
            <w:tcW w:w="588"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5C49D65C">
            <w:pPr>
              <w:keepNext w:val="0"/>
              <w:keepLines w:val="0"/>
              <w:pageBreakBefore w:val="0"/>
              <w:kinsoku/>
              <w:overflowPunct/>
              <w:topLinePunct w:val="0"/>
              <w:autoSpaceDE/>
              <w:autoSpaceDN/>
              <w:bidi w:val="0"/>
              <w:adjustRightInd w:val="0"/>
              <w:snapToGrid w:val="0"/>
              <w:spacing w:line="500" w:lineRule="exact"/>
              <w:jc w:val="center"/>
              <w:rPr>
                <w:rFonts w:ascii="仿宋_GB2312" w:hAnsi="仿宋_GB2312" w:cs="仿宋_GB2312"/>
                <w:sz w:val="24"/>
                <w:u w:val="none"/>
              </w:rPr>
            </w:pPr>
            <w:r>
              <w:rPr>
                <w:rFonts w:hint="eastAsia" w:ascii="仿宋_GB2312" w:hAnsi="仿宋_GB2312" w:cs="仿宋_GB2312"/>
                <w:sz w:val="24"/>
                <w:u w:val="none"/>
                <w:lang w:bidi="ar"/>
              </w:rPr>
              <w:t>序号</w:t>
            </w:r>
          </w:p>
        </w:tc>
        <w:tc>
          <w:tcPr>
            <w:tcW w:w="3511"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6DB93EFA">
            <w:pPr>
              <w:keepNext w:val="0"/>
              <w:keepLines w:val="0"/>
              <w:pageBreakBefore w:val="0"/>
              <w:kinsoku/>
              <w:overflowPunct/>
              <w:topLinePunct w:val="0"/>
              <w:autoSpaceDE/>
              <w:autoSpaceDN/>
              <w:bidi w:val="0"/>
              <w:adjustRightInd w:val="0"/>
              <w:snapToGrid w:val="0"/>
              <w:spacing w:line="500" w:lineRule="exact"/>
              <w:jc w:val="center"/>
              <w:rPr>
                <w:rFonts w:ascii="仿宋_GB2312" w:hAnsi="仿宋_GB2312" w:cs="仿宋_GB2312"/>
                <w:sz w:val="24"/>
                <w:u w:val="none"/>
              </w:rPr>
            </w:pPr>
            <w:r>
              <w:rPr>
                <w:rFonts w:hint="eastAsia" w:ascii="仿宋_GB2312" w:hAnsi="仿宋_GB2312" w:cs="仿宋_GB2312"/>
                <w:sz w:val="24"/>
                <w:u w:val="none"/>
                <w:lang w:bidi="ar"/>
              </w:rPr>
              <w:t>单位名称</w:t>
            </w:r>
          </w:p>
        </w:tc>
        <w:tc>
          <w:tcPr>
            <w:tcW w:w="3529"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24F4544D">
            <w:pPr>
              <w:keepNext w:val="0"/>
              <w:keepLines w:val="0"/>
              <w:pageBreakBefore w:val="0"/>
              <w:kinsoku/>
              <w:overflowPunct/>
              <w:topLinePunct w:val="0"/>
              <w:autoSpaceDE/>
              <w:autoSpaceDN/>
              <w:bidi w:val="0"/>
              <w:adjustRightInd w:val="0"/>
              <w:snapToGrid w:val="0"/>
              <w:spacing w:line="500" w:lineRule="exact"/>
              <w:jc w:val="center"/>
              <w:rPr>
                <w:rFonts w:ascii="仿宋_GB2312" w:hAnsi="仿宋_GB2312" w:cs="仿宋_GB2312"/>
                <w:sz w:val="24"/>
                <w:u w:val="none"/>
              </w:rPr>
            </w:pPr>
            <w:r>
              <w:rPr>
                <w:rFonts w:hint="eastAsia" w:ascii="仿宋_GB2312" w:hAnsi="仿宋_GB2312" w:cs="仿宋_GB2312"/>
                <w:sz w:val="24"/>
                <w:u w:val="none"/>
                <w:lang w:bidi="ar"/>
              </w:rPr>
              <w:t>单位性质</w:t>
            </w:r>
          </w:p>
        </w:tc>
      </w:tr>
      <w:tr w14:paraId="12295F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175" w:type="dxa"/>
            <w:vMerge w:val="continue"/>
            <w:tcBorders>
              <w:top w:val="single" w:color="auto" w:sz="6" w:space="0"/>
              <w:left w:val="single" w:color="auto" w:sz="6" w:space="0"/>
              <w:bottom w:val="single" w:color="auto" w:sz="6" w:space="0"/>
              <w:right w:val="single" w:color="auto" w:sz="6" w:space="0"/>
            </w:tcBorders>
            <w:shd w:val="clear" w:color="auto" w:fill="FFFFFF"/>
            <w:noWrap w:val="0"/>
            <w:vAlign w:val="center"/>
          </w:tcPr>
          <w:p w14:paraId="57869397">
            <w:pPr>
              <w:keepNext w:val="0"/>
              <w:keepLines w:val="0"/>
              <w:pageBreakBefore w:val="0"/>
              <w:kinsoku/>
              <w:overflowPunct/>
              <w:topLinePunct w:val="0"/>
              <w:autoSpaceDE/>
              <w:autoSpaceDN/>
              <w:bidi w:val="0"/>
              <w:spacing w:line="500" w:lineRule="exact"/>
              <w:rPr>
                <w:rFonts w:ascii="仿宋_GB2312" w:hAnsi="仿宋_GB2312" w:cs="仿宋_GB2312"/>
                <w:sz w:val="20"/>
                <w:szCs w:val="20"/>
                <w:u w:val="none"/>
              </w:rPr>
            </w:pPr>
          </w:p>
        </w:tc>
        <w:tc>
          <w:tcPr>
            <w:tcW w:w="588"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14265108">
            <w:pPr>
              <w:keepNext w:val="0"/>
              <w:keepLines w:val="0"/>
              <w:pageBreakBefore w:val="0"/>
              <w:kinsoku/>
              <w:overflowPunct/>
              <w:topLinePunct w:val="0"/>
              <w:autoSpaceDE/>
              <w:autoSpaceDN/>
              <w:bidi w:val="0"/>
              <w:adjustRightInd w:val="0"/>
              <w:snapToGrid w:val="0"/>
              <w:spacing w:line="500" w:lineRule="exact"/>
              <w:jc w:val="center"/>
              <w:rPr>
                <w:rFonts w:ascii="仿宋_GB2312" w:hAnsi="仿宋_GB2312" w:cs="仿宋_GB2312"/>
                <w:sz w:val="24"/>
                <w:u w:val="none"/>
              </w:rPr>
            </w:pPr>
            <w:r>
              <w:rPr>
                <w:rFonts w:hint="eastAsia" w:ascii="仿宋_GB2312" w:hAnsi="仿宋_GB2312" w:cs="仿宋_GB2312"/>
                <w:sz w:val="24"/>
                <w:u w:val="none"/>
                <w:lang w:bidi="ar"/>
              </w:rPr>
              <w:t>1</w:t>
            </w:r>
          </w:p>
        </w:tc>
        <w:tc>
          <w:tcPr>
            <w:tcW w:w="3511"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5BCE3998">
            <w:pPr>
              <w:keepNext w:val="0"/>
              <w:keepLines w:val="0"/>
              <w:pageBreakBefore w:val="0"/>
              <w:kinsoku/>
              <w:overflowPunct/>
              <w:topLinePunct w:val="0"/>
              <w:autoSpaceDE/>
              <w:autoSpaceDN/>
              <w:bidi w:val="0"/>
              <w:adjustRightInd w:val="0"/>
              <w:snapToGrid w:val="0"/>
              <w:spacing w:line="500" w:lineRule="exact"/>
              <w:jc w:val="center"/>
              <w:rPr>
                <w:rFonts w:hint="eastAsia" w:ascii="仿宋_GB2312" w:hAnsi="仿宋_GB2312" w:cs="仿宋_GB2312"/>
                <w:sz w:val="24"/>
                <w:u w:val="none"/>
                <w:lang w:val="en-US" w:eastAsia="zh-CN" w:bidi="ar"/>
              </w:rPr>
            </w:pPr>
            <w:r>
              <w:rPr>
                <w:rFonts w:hint="eastAsia" w:ascii="仿宋_GB2312" w:hAnsi="仿宋_GB2312" w:cs="仿宋_GB2312"/>
                <w:sz w:val="24"/>
                <w:u w:val="none"/>
                <w:lang w:val="en-US" w:eastAsia="zh-CN" w:bidi="ar"/>
              </w:rPr>
              <w:t>兆丰华生物科技(福州)</w:t>
            </w:r>
          </w:p>
          <w:p w14:paraId="512F997E">
            <w:r>
              <w:rPr>
                <w:rFonts w:hint="eastAsia" w:ascii="仿宋_GB2312" w:hAnsi="仿宋_GB2312" w:cs="仿宋_GB2312"/>
                <w:sz w:val="24"/>
                <w:u w:val="none"/>
                <w:lang w:val="en-US" w:eastAsia="zh-CN" w:bidi="ar"/>
              </w:rPr>
              <w:t>有限公司</w:t>
            </w:r>
          </w:p>
          <w:p w14:paraId="156088D4">
            <w:pPr>
              <w:keepNext w:val="0"/>
              <w:keepLines w:val="0"/>
              <w:pageBreakBefore w:val="0"/>
              <w:kinsoku/>
              <w:overflowPunct/>
              <w:topLinePunct w:val="0"/>
              <w:autoSpaceDE/>
              <w:autoSpaceDN/>
              <w:bidi w:val="0"/>
              <w:adjustRightInd w:val="0"/>
              <w:snapToGrid w:val="0"/>
              <w:spacing w:line="500" w:lineRule="exact"/>
              <w:jc w:val="center"/>
              <w:rPr>
                <w:rFonts w:ascii="仿宋_GB2312" w:hAnsi="仿宋_GB2312" w:cs="仿宋_GB2312"/>
                <w:sz w:val="24"/>
                <w:u w:val="none"/>
              </w:rPr>
            </w:pPr>
          </w:p>
        </w:tc>
        <w:tc>
          <w:tcPr>
            <w:tcW w:w="3529"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1BEB70BE">
            <w:pPr>
              <w:keepNext w:val="0"/>
              <w:keepLines w:val="0"/>
              <w:pageBreakBefore w:val="0"/>
              <w:kinsoku/>
              <w:overflowPunct/>
              <w:topLinePunct w:val="0"/>
              <w:autoSpaceDE/>
              <w:autoSpaceDN/>
              <w:bidi w:val="0"/>
              <w:adjustRightInd w:val="0"/>
              <w:snapToGrid w:val="0"/>
              <w:spacing w:line="500" w:lineRule="exact"/>
              <w:jc w:val="center"/>
              <w:rPr>
                <w:rFonts w:ascii="仿宋_GB2312" w:hAnsi="仿宋_GB2312" w:cs="仿宋_GB2312"/>
                <w:sz w:val="24"/>
                <w:u w:val="none"/>
                <w:lang w:bidi="ar"/>
              </w:rPr>
            </w:pPr>
            <w:r>
              <w:rPr>
                <w:rFonts w:hint="eastAsia" w:ascii="仿宋_GB2312" w:hAnsi="仿宋_GB2312" w:cs="仿宋_GB2312"/>
                <w:sz w:val="24"/>
                <w:u w:val="none"/>
                <w:lang w:eastAsia="zh-CN" w:bidi="ar"/>
              </w:rPr>
              <w:t>☑</w:t>
            </w:r>
            <w:r>
              <w:rPr>
                <w:rFonts w:hint="eastAsia" w:ascii="仿宋_GB2312" w:hAnsi="仿宋_GB2312" w:cs="仿宋_GB2312"/>
                <w:sz w:val="24"/>
                <w:u w:val="none"/>
                <w:lang w:bidi="ar"/>
              </w:rPr>
              <w:t xml:space="preserve">龙头企业 </w:t>
            </w:r>
            <w:r>
              <w:rPr>
                <w:rFonts w:hint="eastAsia" w:ascii="仿宋_GB2312" w:hAnsi="仿宋_GB2312" w:cs="仿宋_GB2312"/>
                <w:sz w:val="24"/>
                <w:u w:val="none"/>
                <w:lang w:eastAsia="zh-CN" w:bidi="ar"/>
              </w:rPr>
              <w:t>☑</w:t>
            </w:r>
            <w:r>
              <w:rPr>
                <w:rFonts w:hint="eastAsia" w:ascii="仿宋_GB2312" w:hAnsi="仿宋_GB2312" w:cs="仿宋_GB2312"/>
                <w:sz w:val="24"/>
                <w:u w:val="none"/>
                <w:lang w:bidi="ar"/>
              </w:rPr>
              <w:t xml:space="preserve">骨干企业 </w:t>
            </w:r>
          </w:p>
          <w:p w14:paraId="38870FCF">
            <w:pPr>
              <w:keepNext w:val="0"/>
              <w:keepLines w:val="0"/>
              <w:pageBreakBefore w:val="0"/>
              <w:kinsoku/>
              <w:overflowPunct/>
              <w:topLinePunct w:val="0"/>
              <w:autoSpaceDE/>
              <w:autoSpaceDN/>
              <w:bidi w:val="0"/>
              <w:adjustRightInd w:val="0"/>
              <w:snapToGrid w:val="0"/>
              <w:spacing w:line="500" w:lineRule="exact"/>
              <w:jc w:val="center"/>
              <w:rPr>
                <w:rFonts w:ascii="仿宋_GB2312" w:hAnsi="仿宋_GB2312" w:cs="仿宋_GB2312"/>
                <w:sz w:val="24"/>
                <w:u w:val="none"/>
              </w:rPr>
            </w:pPr>
            <w:r>
              <w:rPr>
                <w:rFonts w:hint="eastAsia" w:ascii="仿宋_GB2312" w:hAnsi="仿宋_GB2312" w:cs="仿宋_GB2312"/>
                <w:sz w:val="24"/>
                <w:u w:val="none"/>
                <w:lang w:bidi="ar"/>
              </w:rPr>
              <w:t>（</w:t>
            </w:r>
            <w:r>
              <w:rPr>
                <w:rFonts w:hint="eastAsia" w:ascii="仿宋_GB2312" w:hAnsi="仿宋_GB2312" w:cs="仿宋_GB2312"/>
                <w:sz w:val="24"/>
                <w:u w:val="none"/>
                <w:lang w:eastAsia="zh-CN" w:bidi="ar"/>
              </w:rPr>
              <w:t>☑</w:t>
            </w:r>
            <w:r>
              <w:rPr>
                <w:rFonts w:hint="eastAsia" w:ascii="仿宋_GB2312" w:hAnsi="仿宋_GB2312" w:cs="仿宋_GB2312"/>
                <w:sz w:val="24"/>
                <w:u w:val="none"/>
                <w:lang w:bidi="ar"/>
              </w:rPr>
              <w:t>高新技术企业、</w:t>
            </w:r>
            <w:r>
              <w:rPr>
                <w:rFonts w:hint="eastAsia" w:ascii="仿宋_GB2312" w:hAnsi="仿宋_GB2312" w:cs="仿宋_GB2312"/>
                <w:sz w:val="24"/>
                <w:u w:val="none"/>
                <w:lang w:eastAsia="zh-CN" w:bidi="ar"/>
              </w:rPr>
              <w:t>☑</w:t>
            </w:r>
            <w:r>
              <w:rPr>
                <w:rFonts w:hint="eastAsia" w:ascii="仿宋_GB2312" w:hAnsi="仿宋_GB2312" w:cs="仿宋_GB2312"/>
                <w:sz w:val="24"/>
                <w:u w:val="none"/>
                <w:lang w:bidi="ar"/>
              </w:rPr>
              <w:t>科技型企业）</w:t>
            </w:r>
          </w:p>
        </w:tc>
      </w:tr>
      <w:tr w14:paraId="0D1B9D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175" w:type="dxa"/>
            <w:vMerge w:val="continue"/>
            <w:tcBorders>
              <w:top w:val="single" w:color="auto" w:sz="6" w:space="0"/>
              <w:left w:val="single" w:color="auto" w:sz="6" w:space="0"/>
              <w:bottom w:val="single" w:color="auto" w:sz="6" w:space="0"/>
              <w:right w:val="single" w:color="auto" w:sz="6" w:space="0"/>
            </w:tcBorders>
            <w:shd w:val="clear" w:color="auto" w:fill="FFFFFF"/>
            <w:noWrap w:val="0"/>
            <w:vAlign w:val="center"/>
          </w:tcPr>
          <w:p w14:paraId="4DCC298E">
            <w:pPr>
              <w:keepNext w:val="0"/>
              <w:keepLines w:val="0"/>
              <w:pageBreakBefore w:val="0"/>
              <w:kinsoku/>
              <w:overflowPunct/>
              <w:topLinePunct w:val="0"/>
              <w:autoSpaceDE/>
              <w:autoSpaceDN/>
              <w:bidi w:val="0"/>
              <w:spacing w:line="500" w:lineRule="exact"/>
              <w:rPr>
                <w:rFonts w:ascii="仿宋_GB2312" w:hAnsi="仿宋_GB2312" w:cs="仿宋_GB2312"/>
                <w:sz w:val="20"/>
                <w:szCs w:val="20"/>
                <w:u w:val="none"/>
              </w:rPr>
            </w:pPr>
          </w:p>
        </w:tc>
        <w:tc>
          <w:tcPr>
            <w:tcW w:w="588"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6C945F14">
            <w:pPr>
              <w:keepNext w:val="0"/>
              <w:keepLines w:val="0"/>
              <w:pageBreakBefore w:val="0"/>
              <w:kinsoku/>
              <w:overflowPunct/>
              <w:topLinePunct w:val="0"/>
              <w:autoSpaceDE/>
              <w:autoSpaceDN/>
              <w:bidi w:val="0"/>
              <w:adjustRightInd w:val="0"/>
              <w:snapToGrid w:val="0"/>
              <w:spacing w:line="500" w:lineRule="exact"/>
              <w:jc w:val="center"/>
              <w:rPr>
                <w:rFonts w:ascii="仿宋_GB2312" w:hAnsi="仿宋_GB2312" w:cs="仿宋_GB2312"/>
                <w:sz w:val="24"/>
                <w:u w:val="none"/>
              </w:rPr>
            </w:pPr>
            <w:r>
              <w:rPr>
                <w:rFonts w:hint="eastAsia" w:ascii="仿宋_GB2312" w:hAnsi="仿宋_GB2312" w:cs="仿宋_GB2312"/>
                <w:sz w:val="24"/>
                <w:u w:val="none"/>
                <w:lang w:bidi="ar"/>
              </w:rPr>
              <w:t>2</w:t>
            </w:r>
          </w:p>
        </w:tc>
        <w:tc>
          <w:tcPr>
            <w:tcW w:w="3511"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071BC3B2">
            <w:pPr>
              <w:keepNext w:val="0"/>
              <w:keepLines w:val="0"/>
              <w:pageBreakBefore w:val="0"/>
              <w:kinsoku/>
              <w:overflowPunct/>
              <w:topLinePunct w:val="0"/>
              <w:autoSpaceDE/>
              <w:autoSpaceDN/>
              <w:bidi w:val="0"/>
              <w:adjustRightInd w:val="0"/>
              <w:snapToGrid w:val="0"/>
              <w:spacing w:line="500" w:lineRule="exact"/>
              <w:jc w:val="center"/>
              <w:rPr>
                <w:rFonts w:hint="eastAsia" w:ascii="仿宋_GB2312" w:hAnsi="仿宋_GB2312" w:cs="仿宋_GB2312"/>
                <w:sz w:val="24"/>
                <w:u w:val="none"/>
                <w:lang w:val="en-US" w:eastAsia="zh-CN" w:bidi="ar"/>
              </w:rPr>
            </w:pPr>
            <w:r>
              <w:rPr>
                <w:rFonts w:hint="eastAsia" w:ascii="仿宋_GB2312" w:hAnsi="仿宋_GB2312" w:cs="仿宋_GB2312"/>
                <w:sz w:val="24"/>
                <w:u w:val="none"/>
                <w:lang w:val="en-US" w:eastAsia="zh-CN" w:bidi="ar"/>
              </w:rPr>
              <w:t>福建永诚育种科技集团</w:t>
            </w:r>
          </w:p>
          <w:p w14:paraId="5F0C2427">
            <w:r>
              <w:rPr>
                <w:rFonts w:hint="eastAsia" w:ascii="仿宋_GB2312" w:hAnsi="仿宋_GB2312" w:cs="仿宋_GB2312"/>
                <w:sz w:val="24"/>
                <w:u w:val="none"/>
                <w:lang w:val="en-US" w:eastAsia="zh-CN" w:bidi="ar"/>
              </w:rPr>
              <w:t>有限公司</w:t>
            </w:r>
          </w:p>
          <w:p w14:paraId="66C2E742">
            <w:pPr>
              <w:keepNext w:val="0"/>
              <w:keepLines w:val="0"/>
              <w:pageBreakBefore w:val="0"/>
              <w:kinsoku/>
              <w:overflowPunct/>
              <w:topLinePunct w:val="0"/>
              <w:autoSpaceDE/>
              <w:autoSpaceDN/>
              <w:bidi w:val="0"/>
              <w:adjustRightInd w:val="0"/>
              <w:snapToGrid w:val="0"/>
              <w:spacing w:line="500" w:lineRule="exact"/>
              <w:jc w:val="center"/>
              <w:rPr>
                <w:rFonts w:ascii="仿宋_GB2312" w:hAnsi="仿宋_GB2312" w:cs="仿宋_GB2312"/>
                <w:sz w:val="24"/>
                <w:u w:val="none"/>
              </w:rPr>
            </w:pPr>
          </w:p>
        </w:tc>
        <w:tc>
          <w:tcPr>
            <w:tcW w:w="3529"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63CA868C">
            <w:pPr>
              <w:keepNext w:val="0"/>
              <w:keepLines w:val="0"/>
              <w:pageBreakBefore w:val="0"/>
              <w:kinsoku/>
              <w:overflowPunct/>
              <w:topLinePunct w:val="0"/>
              <w:autoSpaceDE/>
              <w:autoSpaceDN/>
              <w:bidi w:val="0"/>
              <w:adjustRightInd w:val="0"/>
              <w:snapToGrid w:val="0"/>
              <w:spacing w:line="500" w:lineRule="exact"/>
              <w:jc w:val="center"/>
              <w:rPr>
                <w:rFonts w:ascii="仿宋_GB2312" w:hAnsi="仿宋_GB2312" w:cs="仿宋_GB2312"/>
                <w:sz w:val="24"/>
                <w:u w:val="none"/>
                <w:lang w:bidi="ar"/>
              </w:rPr>
            </w:pPr>
            <w:r>
              <w:rPr>
                <w:rFonts w:hint="eastAsia" w:ascii="仿宋_GB2312" w:hAnsi="仿宋_GB2312" w:cs="仿宋_GB2312"/>
                <w:sz w:val="24"/>
                <w:u w:val="none"/>
                <w:lang w:eastAsia="zh-CN" w:bidi="ar"/>
              </w:rPr>
              <w:t>☑</w:t>
            </w:r>
            <w:r>
              <w:rPr>
                <w:rFonts w:hint="eastAsia" w:ascii="仿宋_GB2312" w:hAnsi="仿宋_GB2312" w:cs="仿宋_GB2312"/>
                <w:sz w:val="24"/>
                <w:u w:val="none"/>
                <w:lang w:bidi="ar"/>
              </w:rPr>
              <w:t xml:space="preserve">龙头企业 □骨干企业 </w:t>
            </w:r>
          </w:p>
          <w:p w14:paraId="538E1EB4">
            <w:pPr>
              <w:keepNext w:val="0"/>
              <w:keepLines w:val="0"/>
              <w:pageBreakBefore w:val="0"/>
              <w:kinsoku/>
              <w:overflowPunct/>
              <w:topLinePunct w:val="0"/>
              <w:autoSpaceDE/>
              <w:autoSpaceDN/>
              <w:bidi w:val="0"/>
              <w:adjustRightInd w:val="0"/>
              <w:snapToGrid w:val="0"/>
              <w:spacing w:line="500" w:lineRule="exact"/>
              <w:jc w:val="center"/>
              <w:rPr>
                <w:rFonts w:ascii="仿宋_GB2312" w:hAnsi="仿宋_GB2312" w:cs="仿宋_GB2312"/>
                <w:sz w:val="24"/>
                <w:u w:val="none"/>
              </w:rPr>
            </w:pPr>
            <w:r>
              <w:rPr>
                <w:rFonts w:hint="eastAsia" w:ascii="仿宋_GB2312" w:hAnsi="仿宋_GB2312" w:cs="仿宋_GB2312"/>
                <w:sz w:val="24"/>
                <w:u w:val="none"/>
                <w:lang w:bidi="ar"/>
              </w:rPr>
              <w:t>（</w:t>
            </w:r>
            <w:r>
              <w:rPr>
                <w:rFonts w:hint="eastAsia" w:ascii="仿宋_GB2312" w:hAnsi="仿宋_GB2312" w:cs="仿宋_GB2312"/>
                <w:sz w:val="24"/>
                <w:u w:val="none"/>
                <w:lang w:eastAsia="zh-CN" w:bidi="ar"/>
              </w:rPr>
              <w:t>☑</w:t>
            </w:r>
            <w:r>
              <w:rPr>
                <w:rFonts w:hint="eastAsia" w:ascii="仿宋_GB2312" w:hAnsi="仿宋_GB2312" w:cs="仿宋_GB2312"/>
                <w:sz w:val="24"/>
                <w:u w:val="none"/>
                <w:lang w:bidi="ar"/>
              </w:rPr>
              <w:t>高新技术企业、□科技型企业）</w:t>
            </w:r>
          </w:p>
        </w:tc>
      </w:tr>
      <w:tr w14:paraId="5DDB61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000" w:hRule="atLeast"/>
          <w:jc w:val="center"/>
        </w:trPr>
        <w:tc>
          <w:tcPr>
            <w:tcW w:w="1175"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79E6DF0C">
            <w:pPr>
              <w:keepNext w:val="0"/>
              <w:keepLines w:val="0"/>
              <w:pageBreakBefore w:val="0"/>
              <w:kinsoku/>
              <w:overflowPunct/>
              <w:topLinePunct w:val="0"/>
              <w:autoSpaceDE/>
              <w:autoSpaceDN/>
              <w:bidi w:val="0"/>
              <w:adjustRightInd w:val="0"/>
              <w:snapToGrid w:val="0"/>
              <w:spacing w:line="500" w:lineRule="exact"/>
              <w:jc w:val="center"/>
              <w:rPr>
                <w:rFonts w:ascii="仿宋_GB2312" w:hAnsi="仿宋_GB2312" w:cs="仿宋_GB2312"/>
                <w:sz w:val="24"/>
                <w:u w:val="none"/>
              </w:rPr>
            </w:pPr>
            <w:r>
              <w:rPr>
                <w:rFonts w:hint="eastAsia" w:ascii="仿宋_GB2312" w:hAnsi="仿宋_GB2312" w:cs="仿宋_GB2312"/>
                <w:sz w:val="24"/>
                <w:u w:val="none"/>
                <w:lang w:bidi="ar"/>
              </w:rPr>
              <w:t>研发资金投入预测</w:t>
            </w:r>
          </w:p>
        </w:tc>
        <w:tc>
          <w:tcPr>
            <w:tcW w:w="7628" w:type="dxa"/>
            <w:gridSpan w:val="3"/>
            <w:tcBorders>
              <w:top w:val="single" w:color="auto" w:sz="6" w:space="0"/>
              <w:left w:val="single" w:color="auto" w:sz="6" w:space="0"/>
              <w:bottom w:val="single" w:color="auto" w:sz="6" w:space="0"/>
              <w:right w:val="single" w:color="auto" w:sz="6" w:space="0"/>
            </w:tcBorders>
            <w:shd w:val="clear" w:color="auto" w:fill="FFFFFF"/>
            <w:noWrap w:val="0"/>
            <w:vAlign w:val="center"/>
          </w:tcPr>
          <w:p w14:paraId="387E1AD6">
            <w:pPr>
              <w:keepNext w:val="0"/>
              <w:keepLines w:val="0"/>
              <w:pageBreakBefore w:val="0"/>
              <w:kinsoku/>
              <w:overflowPunct/>
              <w:topLinePunct w:val="0"/>
              <w:autoSpaceDE/>
              <w:autoSpaceDN/>
              <w:bidi w:val="0"/>
              <w:adjustRightInd w:val="0"/>
              <w:snapToGrid w:val="0"/>
              <w:spacing w:line="500" w:lineRule="exact"/>
              <w:jc w:val="left"/>
              <w:rPr>
                <w:rFonts w:ascii="仿宋_GB2312" w:hAnsi="仿宋_GB2312" w:cs="仿宋_GB2312"/>
                <w:sz w:val="24"/>
                <w:u w:val="none"/>
              </w:rPr>
            </w:pPr>
            <w:r>
              <w:rPr>
                <w:rFonts w:hint="eastAsia" w:ascii="仿宋_GB2312" w:hAnsi="仿宋_GB2312" w:cs="仿宋_GB2312"/>
                <w:sz w:val="24"/>
                <w:u w:val="none"/>
                <w:lang w:bidi="ar"/>
              </w:rPr>
              <w:t>（以揭榜方申报项目测算数据为准）</w:t>
            </w:r>
          </w:p>
          <w:p w14:paraId="58C71FC4">
            <w:pPr>
              <w:keepNext w:val="0"/>
              <w:keepLines w:val="0"/>
              <w:pageBreakBefore w:val="0"/>
              <w:kinsoku/>
              <w:overflowPunct/>
              <w:topLinePunct w:val="0"/>
              <w:autoSpaceDE/>
              <w:autoSpaceDN/>
              <w:bidi w:val="0"/>
              <w:adjustRightInd w:val="0"/>
              <w:snapToGrid w:val="0"/>
              <w:spacing w:line="500" w:lineRule="exact"/>
              <w:ind w:firstLine="1028" w:firstLineChars="400"/>
              <w:jc w:val="left"/>
              <w:rPr>
                <w:rFonts w:ascii="仿宋_GB2312" w:hAnsi="仿宋_GB2312" w:cs="仿宋_GB2312"/>
                <w:sz w:val="24"/>
                <w:u w:val="none"/>
              </w:rPr>
            </w:pPr>
            <w:r>
              <w:rPr>
                <w:rFonts w:hint="eastAsia" w:ascii="仿宋_GB2312" w:hAnsi="仿宋_GB2312" w:cs="仿宋_GB2312"/>
                <w:sz w:val="24"/>
                <w:u w:val="none"/>
                <w:lang w:bidi="ar"/>
              </w:rPr>
              <w:t xml:space="preserve">研发总预算初步预测： </w:t>
            </w:r>
            <w:r>
              <w:rPr>
                <w:rFonts w:hint="eastAsia" w:ascii="仿宋_GB2312" w:hAnsi="仿宋_GB2312" w:cs="仿宋_GB2312"/>
                <w:sz w:val="24"/>
                <w:u w:val="none"/>
                <w:lang w:val="en-US" w:eastAsia="zh-CN" w:bidi="ar"/>
              </w:rPr>
              <w:t xml:space="preserve"> 600 </w:t>
            </w:r>
            <w:r>
              <w:rPr>
                <w:rFonts w:hint="eastAsia" w:ascii="仿宋_GB2312" w:hAnsi="仿宋_GB2312" w:cs="仿宋_GB2312"/>
                <w:sz w:val="24"/>
                <w:u w:val="none"/>
                <w:lang w:bidi="ar"/>
              </w:rPr>
              <w:t xml:space="preserve"> 万元</w:t>
            </w:r>
          </w:p>
        </w:tc>
      </w:tr>
      <w:tr w14:paraId="2D5F24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189" w:hRule="atLeast"/>
          <w:jc w:val="center"/>
        </w:trPr>
        <w:tc>
          <w:tcPr>
            <w:tcW w:w="1175"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78AB7F26">
            <w:pPr>
              <w:keepNext w:val="0"/>
              <w:keepLines w:val="0"/>
              <w:pageBreakBefore w:val="0"/>
              <w:kinsoku/>
              <w:overflowPunct/>
              <w:topLinePunct w:val="0"/>
              <w:autoSpaceDE/>
              <w:autoSpaceDN/>
              <w:bidi w:val="0"/>
              <w:adjustRightInd w:val="0"/>
              <w:snapToGrid w:val="0"/>
              <w:spacing w:line="500" w:lineRule="exact"/>
              <w:jc w:val="center"/>
              <w:rPr>
                <w:rFonts w:ascii="仿宋_GB2312" w:hAnsi="仿宋_GB2312" w:cs="仿宋_GB2312"/>
                <w:sz w:val="24"/>
                <w:u w:val="none"/>
              </w:rPr>
            </w:pPr>
            <w:r>
              <w:rPr>
                <w:rFonts w:hint="eastAsia" w:ascii="仿宋_GB2312" w:hAnsi="仿宋_GB2312" w:cs="仿宋_GB2312"/>
                <w:sz w:val="24"/>
                <w:u w:val="none"/>
                <w:lang w:bidi="ar"/>
              </w:rPr>
              <w:t>申请财政资金</w:t>
            </w:r>
          </w:p>
        </w:tc>
        <w:tc>
          <w:tcPr>
            <w:tcW w:w="7628" w:type="dxa"/>
            <w:gridSpan w:val="3"/>
            <w:tcBorders>
              <w:top w:val="single" w:color="auto" w:sz="6" w:space="0"/>
              <w:left w:val="single" w:color="auto" w:sz="6" w:space="0"/>
              <w:bottom w:val="single" w:color="auto" w:sz="6" w:space="0"/>
              <w:right w:val="single" w:color="auto" w:sz="6" w:space="0"/>
            </w:tcBorders>
            <w:shd w:val="clear" w:color="auto" w:fill="FFFFFF"/>
            <w:noWrap w:val="0"/>
            <w:vAlign w:val="center"/>
          </w:tcPr>
          <w:p w14:paraId="2AA05E2D">
            <w:pPr>
              <w:keepNext w:val="0"/>
              <w:keepLines w:val="0"/>
              <w:pageBreakBefore w:val="0"/>
              <w:kinsoku/>
              <w:overflowPunct/>
              <w:topLinePunct w:val="0"/>
              <w:autoSpaceDE/>
              <w:autoSpaceDN/>
              <w:bidi w:val="0"/>
              <w:adjustRightInd w:val="0"/>
              <w:snapToGrid w:val="0"/>
              <w:spacing w:line="500" w:lineRule="exact"/>
              <w:jc w:val="left"/>
              <w:rPr>
                <w:rFonts w:ascii="仿宋_GB2312" w:hAnsi="仿宋_GB2312" w:cs="仿宋_GB2312"/>
                <w:sz w:val="24"/>
                <w:u w:val="none"/>
              </w:rPr>
            </w:pPr>
            <w:r>
              <w:rPr>
                <w:rFonts w:hint="eastAsia" w:ascii="仿宋_GB2312" w:hAnsi="仿宋_GB2312" w:cs="仿宋_GB2312"/>
                <w:sz w:val="24"/>
                <w:u w:val="none"/>
                <w:lang w:bidi="ar"/>
              </w:rPr>
              <w:t>（不超过</w:t>
            </w:r>
            <w:r>
              <w:rPr>
                <w:rFonts w:hint="eastAsia" w:ascii="仿宋_GB2312" w:hAnsi="仿宋_GB2312" w:cs="仿宋_GB2312"/>
                <w:sz w:val="24"/>
                <w:u w:val="none"/>
                <w:lang w:val="en-US" w:eastAsia="zh-CN" w:bidi="ar"/>
              </w:rPr>
              <w:t xml:space="preserve"> 300 </w:t>
            </w:r>
            <w:r>
              <w:rPr>
                <w:rFonts w:hint="eastAsia" w:ascii="仿宋_GB2312" w:hAnsi="仿宋_GB2312" w:cs="仿宋_GB2312"/>
                <w:sz w:val="24"/>
                <w:u w:val="none"/>
                <w:lang w:bidi="ar"/>
              </w:rPr>
              <w:t>万元）</w:t>
            </w:r>
          </w:p>
          <w:p w14:paraId="03BBD014">
            <w:pPr>
              <w:keepNext w:val="0"/>
              <w:keepLines w:val="0"/>
              <w:pageBreakBefore w:val="0"/>
              <w:kinsoku/>
              <w:overflowPunct/>
              <w:topLinePunct w:val="0"/>
              <w:autoSpaceDE/>
              <w:autoSpaceDN/>
              <w:bidi w:val="0"/>
              <w:adjustRightInd w:val="0"/>
              <w:snapToGrid w:val="0"/>
              <w:spacing w:line="500" w:lineRule="exact"/>
              <w:ind w:firstLine="1028" w:firstLineChars="400"/>
              <w:jc w:val="left"/>
              <w:rPr>
                <w:rFonts w:ascii="仿宋_GB2312" w:hAnsi="仿宋_GB2312" w:cs="仿宋_GB2312"/>
                <w:sz w:val="24"/>
                <w:u w:val="none"/>
              </w:rPr>
            </w:pPr>
            <w:r>
              <w:rPr>
                <w:rFonts w:hint="eastAsia" w:ascii="仿宋_GB2312" w:hAnsi="仿宋_GB2312" w:cs="仿宋_GB2312"/>
                <w:sz w:val="24"/>
                <w:u w:val="none"/>
                <w:lang w:bidi="ar"/>
              </w:rPr>
              <w:t xml:space="preserve">申请省科技厅财政资金不超过： </w:t>
            </w:r>
            <w:r>
              <w:rPr>
                <w:rFonts w:hint="eastAsia" w:ascii="仿宋_GB2312" w:hAnsi="仿宋_GB2312" w:cs="仿宋_GB2312"/>
                <w:sz w:val="24"/>
                <w:u w:val="none"/>
                <w:lang w:val="en-US" w:eastAsia="zh-CN" w:bidi="ar"/>
              </w:rPr>
              <w:t xml:space="preserve"> 300 </w:t>
            </w:r>
            <w:r>
              <w:rPr>
                <w:rFonts w:hint="eastAsia" w:ascii="仿宋_GB2312" w:hAnsi="仿宋_GB2312" w:cs="仿宋_GB2312"/>
                <w:sz w:val="24"/>
                <w:u w:val="none"/>
                <w:lang w:bidi="ar"/>
              </w:rPr>
              <w:t xml:space="preserve"> 万元</w:t>
            </w:r>
          </w:p>
        </w:tc>
      </w:tr>
      <w:tr w14:paraId="70D113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189" w:hRule="atLeast"/>
          <w:jc w:val="center"/>
        </w:trPr>
        <w:tc>
          <w:tcPr>
            <w:tcW w:w="1175"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00772A8E">
            <w:pPr>
              <w:keepNext w:val="0"/>
              <w:keepLines w:val="0"/>
              <w:pageBreakBefore w:val="0"/>
              <w:kinsoku/>
              <w:overflowPunct/>
              <w:topLinePunct w:val="0"/>
              <w:autoSpaceDE/>
              <w:autoSpaceDN/>
              <w:bidi w:val="0"/>
              <w:adjustRightInd w:val="0"/>
              <w:snapToGrid w:val="0"/>
              <w:spacing w:line="500" w:lineRule="exact"/>
              <w:jc w:val="center"/>
              <w:rPr>
                <w:rFonts w:ascii="仿宋_GB2312" w:hAnsi="仿宋_GB2312" w:cs="仿宋_GB2312"/>
                <w:sz w:val="24"/>
                <w:u w:val="none"/>
              </w:rPr>
            </w:pPr>
            <w:r>
              <w:rPr>
                <w:rFonts w:hint="eastAsia" w:ascii="仿宋_GB2312" w:hAnsi="仿宋_GB2312" w:cs="仿宋_GB2312"/>
                <w:sz w:val="24"/>
                <w:u w:val="none"/>
                <w:lang w:bidi="ar"/>
              </w:rPr>
              <w:t>企业出资承诺</w:t>
            </w:r>
          </w:p>
        </w:tc>
        <w:tc>
          <w:tcPr>
            <w:tcW w:w="7628" w:type="dxa"/>
            <w:gridSpan w:val="3"/>
            <w:tcBorders>
              <w:top w:val="single" w:color="auto" w:sz="6" w:space="0"/>
              <w:left w:val="single" w:color="auto" w:sz="6" w:space="0"/>
              <w:bottom w:val="single" w:color="auto" w:sz="6" w:space="0"/>
              <w:right w:val="single" w:color="auto" w:sz="6" w:space="0"/>
            </w:tcBorders>
            <w:shd w:val="clear" w:color="auto" w:fill="FFFFFF"/>
            <w:noWrap w:val="0"/>
            <w:vAlign w:val="center"/>
          </w:tcPr>
          <w:p w14:paraId="04D87A32">
            <w:pPr>
              <w:keepNext w:val="0"/>
              <w:keepLines w:val="0"/>
              <w:pageBreakBefore w:val="0"/>
              <w:kinsoku/>
              <w:overflowPunct/>
              <w:topLinePunct w:val="0"/>
              <w:autoSpaceDE/>
              <w:autoSpaceDN/>
              <w:bidi w:val="0"/>
              <w:adjustRightInd w:val="0"/>
              <w:snapToGrid w:val="0"/>
              <w:spacing w:line="500" w:lineRule="exact"/>
              <w:jc w:val="left"/>
              <w:rPr>
                <w:rFonts w:ascii="仿宋_GB2312" w:hAnsi="仿宋_GB2312" w:cs="仿宋_GB2312"/>
                <w:sz w:val="24"/>
                <w:u w:val="none"/>
              </w:rPr>
            </w:pPr>
            <w:r>
              <w:rPr>
                <w:rFonts w:hint="eastAsia" w:ascii="仿宋_GB2312" w:hAnsi="仿宋_GB2312" w:cs="仿宋_GB2312"/>
                <w:sz w:val="24"/>
                <w:u w:val="none"/>
                <w:lang w:bidi="ar"/>
              </w:rPr>
              <w:t xml:space="preserve">本企业愿意为该技术难题攻关提供研发资金不少于  </w:t>
            </w:r>
            <w:r>
              <w:rPr>
                <w:rFonts w:hint="eastAsia" w:ascii="仿宋_GB2312" w:hAnsi="仿宋_GB2312" w:cs="仿宋_GB2312"/>
                <w:sz w:val="24"/>
                <w:u w:val="none"/>
                <w:lang w:val="en-US" w:eastAsia="zh-CN" w:bidi="ar"/>
              </w:rPr>
              <w:t xml:space="preserve">300 </w:t>
            </w:r>
            <w:r>
              <w:rPr>
                <w:rFonts w:hint="eastAsia" w:ascii="仿宋_GB2312" w:hAnsi="仿宋_GB2312" w:cs="仿宋_GB2312"/>
                <w:sz w:val="24"/>
                <w:u w:val="none"/>
                <w:lang w:bidi="ar"/>
              </w:rPr>
              <w:t xml:space="preserve"> 万元。</w:t>
            </w:r>
          </w:p>
          <w:p w14:paraId="6AEF8272">
            <w:pPr>
              <w:keepNext w:val="0"/>
              <w:keepLines w:val="0"/>
              <w:pageBreakBefore w:val="0"/>
              <w:kinsoku/>
              <w:overflowPunct/>
              <w:topLinePunct w:val="0"/>
              <w:autoSpaceDE/>
              <w:autoSpaceDN/>
              <w:bidi w:val="0"/>
              <w:adjustRightInd w:val="0"/>
              <w:snapToGrid w:val="0"/>
              <w:spacing w:line="500" w:lineRule="exact"/>
              <w:jc w:val="both"/>
              <w:rPr>
                <w:rFonts w:ascii="仿宋_GB2312" w:hAnsi="仿宋_GB2312" w:cs="仿宋_GB2312"/>
                <w:sz w:val="24"/>
                <w:u w:val="none"/>
              </w:rPr>
            </w:pPr>
            <w:r>
              <w:rPr>
                <w:rFonts w:hint="eastAsia" w:ascii="仿宋_GB2312" w:hAnsi="仿宋_GB2312" w:cs="仿宋_GB2312"/>
                <w:sz w:val="24"/>
                <w:u w:val="none"/>
                <w:lang w:bidi="ar"/>
              </w:rPr>
              <w:t>企业名称：</w:t>
            </w:r>
            <w:r>
              <w:rPr>
                <w:rFonts w:hint="eastAsia" w:ascii="仿宋_GB2312" w:hAnsi="仿宋_GB2312" w:cs="仿宋_GB2312"/>
                <w:sz w:val="24"/>
                <w:u w:val="none"/>
                <w:lang w:val="en-US" w:eastAsia="zh-CN" w:bidi="ar"/>
              </w:rPr>
              <w:t>福建清流永诚育种科技有限公司</w:t>
            </w:r>
          </w:p>
        </w:tc>
      </w:tr>
      <w:tr w14:paraId="46289A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900" w:hRule="atLeast"/>
          <w:jc w:val="center"/>
        </w:trPr>
        <w:tc>
          <w:tcPr>
            <w:tcW w:w="1175"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7370E855">
            <w:pPr>
              <w:keepNext w:val="0"/>
              <w:keepLines w:val="0"/>
              <w:pageBreakBefore w:val="0"/>
              <w:kinsoku/>
              <w:overflowPunct/>
              <w:topLinePunct w:val="0"/>
              <w:autoSpaceDE/>
              <w:autoSpaceDN/>
              <w:bidi w:val="0"/>
              <w:adjustRightInd w:val="0"/>
              <w:snapToGrid w:val="0"/>
              <w:spacing w:line="500" w:lineRule="exact"/>
              <w:jc w:val="center"/>
              <w:rPr>
                <w:rFonts w:ascii="仿宋_GB2312" w:hAnsi="仿宋_GB2312" w:cs="仿宋_GB2312"/>
                <w:sz w:val="24"/>
                <w:u w:val="none"/>
              </w:rPr>
            </w:pPr>
            <w:r>
              <w:rPr>
                <w:rFonts w:hint="eastAsia" w:ascii="仿宋_GB2312" w:hAnsi="仿宋_GB2312" w:cs="仿宋_GB2312"/>
                <w:sz w:val="24"/>
                <w:u w:val="none"/>
                <w:lang w:bidi="ar"/>
              </w:rPr>
              <w:t>企业期望产权归属（以双方实际签署合作协议为准）</w:t>
            </w:r>
          </w:p>
        </w:tc>
        <w:tc>
          <w:tcPr>
            <w:tcW w:w="7628" w:type="dxa"/>
            <w:gridSpan w:val="3"/>
            <w:tcBorders>
              <w:top w:val="single" w:color="auto" w:sz="6" w:space="0"/>
              <w:left w:val="single" w:color="auto" w:sz="6" w:space="0"/>
              <w:bottom w:val="single" w:color="auto" w:sz="6" w:space="0"/>
              <w:right w:val="single" w:color="auto" w:sz="6" w:space="0"/>
            </w:tcBorders>
            <w:shd w:val="clear" w:color="auto" w:fill="FFFFFF"/>
            <w:noWrap w:val="0"/>
            <w:vAlign w:val="center"/>
          </w:tcPr>
          <w:p w14:paraId="6510BAFF">
            <w:pPr>
              <w:keepNext w:val="0"/>
              <w:keepLines w:val="0"/>
              <w:pageBreakBefore w:val="0"/>
              <w:kinsoku/>
              <w:overflowPunct/>
              <w:topLinePunct w:val="0"/>
              <w:autoSpaceDE/>
              <w:autoSpaceDN/>
              <w:bidi w:val="0"/>
              <w:adjustRightInd w:val="0"/>
              <w:snapToGrid w:val="0"/>
              <w:spacing w:line="500" w:lineRule="exact"/>
              <w:jc w:val="left"/>
              <w:rPr>
                <w:rFonts w:ascii="仿宋_GB2312" w:hAnsi="仿宋_GB2312" w:cs="仿宋_GB2312"/>
                <w:sz w:val="24"/>
                <w:u w:val="none"/>
              </w:rPr>
            </w:pPr>
            <w:r>
              <w:rPr>
                <w:rFonts w:hint="default" w:ascii="Times New Roman" w:hAnsi="Times New Roman" w:eastAsia="仿宋_GB2312" w:cs="Times New Roman"/>
                <w:color w:val="auto"/>
                <w:sz w:val="24"/>
                <w:u w:val="none"/>
                <w:lang w:val="en-US" w:eastAsia="zh-CN"/>
              </w:rPr>
              <w:t>各方独立研发的技术成果，其知识产权归研发方单独所有；合作研发产生的技术成果，由合作各方协商确定权属及权益分配方案。福建永诚育种科技集团有限公司、清流永诚育种科技有限公司和兆丰华生物科技(福州)有限公司享有合作技术成果的优先使用权。</w:t>
            </w:r>
          </w:p>
        </w:tc>
      </w:tr>
      <w:tr w14:paraId="0E0276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480" w:hRule="atLeast"/>
          <w:jc w:val="center"/>
        </w:trPr>
        <w:tc>
          <w:tcPr>
            <w:tcW w:w="1175"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71220ADC">
            <w:pPr>
              <w:keepNext w:val="0"/>
              <w:keepLines w:val="0"/>
              <w:pageBreakBefore w:val="0"/>
              <w:kinsoku/>
              <w:overflowPunct/>
              <w:topLinePunct w:val="0"/>
              <w:autoSpaceDE/>
              <w:autoSpaceDN/>
              <w:bidi w:val="0"/>
              <w:adjustRightInd w:val="0"/>
              <w:snapToGrid w:val="0"/>
              <w:spacing w:line="500" w:lineRule="exact"/>
              <w:jc w:val="center"/>
              <w:rPr>
                <w:rFonts w:ascii="仿宋_GB2312" w:hAnsi="仿宋_GB2312" w:cs="仿宋_GB2312"/>
                <w:sz w:val="24"/>
                <w:u w:val="none"/>
              </w:rPr>
            </w:pPr>
            <w:r>
              <w:rPr>
                <w:rFonts w:hint="eastAsia" w:ascii="仿宋_GB2312" w:hAnsi="仿宋_GB2312" w:cs="仿宋_GB2312"/>
                <w:sz w:val="24"/>
                <w:u w:val="none"/>
                <w:lang w:bidi="ar"/>
              </w:rPr>
              <w:t>企业承接转化后预期的经济、社会效益（限300字以内）</w:t>
            </w:r>
          </w:p>
        </w:tc>
        <w:tc>
          <w:tcPr>
            <w:tcW w:w="7628" w:type="dxa"/>
            <w:gridSpan w:val="3"/>
            <w:tcBorders>
              <w:top w:val="single" w:color="auto" w:sz="6" w:space="0"/>
              <w:left w:val="single" w:color="auto" w:sz="6" w:space="0"/>
              <w:bottom w:val="single" w:color="auto" w:sz="6" w:space="0"/>
              <w:right w:val="single" w:color="auto" w:sz="6" w:space="0"/>
            </w:tcBorders>
            <w:shd w:val="clear" w:color="auto" w:fill="FFFFFF"/>
            <w:noWrap w:val="0"/>
            <w:vAlign w:val="center"/>
          </w:tcPr>
          <w:p w14:paraId="3B6DCBA1">
            <w:pPr>
              <w:keepNext w:val="0"/>
              <w:keepLines w:val="0"/>
              <w:pageBreakBefore w:val="0"/>
              <w:kinsoku/>
              <w:overflowPunct/>
              <w:topLinePunct w:val="0"/>
              <w:autoSpaceDE/>
              <w:autoSpaceDN/>
              <w:bidi w:val="0"/>
              <w:adjustRightInd w:val="0"/>
              <w:snapToGrid w:val="0"/>
              <w:spacing w:line="500" w:lineRule="exact"/>
              <w:ind w:firstLine="514" w:firstLineChars="200"/>
              <w:jc w:val="left"/>
              <w:rPr>
                <w:rFonts w:hint="eastAsia" w:ascii="仿宋_GB2312" w:hAnsi="仿宋_GB2312" w:eastAsia="仿宋_GB2312" w:cs="仿宋_GB2312"/>
                <w:color w:val="auto"/>
                <w:sz w:val="24"/>
                <w:u w:val="none"/>
                <w:lang w:val="en-US" w:eastAsia="zh-CN"/>
              </w:rPr>
            </w:pPr>
            <w:r>
              <w:rPr>
                <w:rFonts w:hint="eastAsia" w:ascii="Times New Roman" w:hAnsi="Times New Roman" w:eastAsia="仿宋_GB2312" w:cs="Times New Roman"/>
                <w:color w:val="auto"/>
                <w:sz w:val="24"/>
                <w:u w:val="none"/>
                <w:lang w:val="en-US" w:eastAsia="zh-CN"/>
              </w:rPr>
              <w:t>经济</w:t>
            </w:r>
            <w:r>
              <w:rPr>
                <w:rFonts w:hint="eastAsia" w:ascii="仿宋_GB2312" w:hAnsi="仿宋_GB2312" w:eastAsia="仿宋_GB2312" w:cs="仿宋_GB2312"/>
                <w:color w:val="auto"/>
                <w:sz w:val="24"/>
                <w:u w:val="none"/>
                <w:lang w:val="en-US" w:eastAsia="zh-CN"/>
              </w:rPr>
              <w:t>效益方面，本技术成果产业化选育出的快长型杜洛克父本，单头成本降低5%–8%，可节约饲料约1500万元。研发的亚单位疫苗，降低仔猪腹泻死亡率和养殖成本，减少疫病损失超1000万</w:t>
            </w:r>
            <w:r>
              <w:rPr>
                <w:rFonts w:hint="eastAsia" w:ascii="Times New Roman" w:hAnsi="Times New Roman" w:eastAsia="仿宋_GB2312" w:cs="Times New Roman"/>
                <w:color w:val="auto"/>
                <w:sz w:val="24"/>
                <w:u w:val="none"/>
                <w:lang w:val="en-US" w:eastAsia="zh-CN"/>
              </w:rPr>
              <w:t>元，综合</w:t>
            </w:r>
            <w:r>
              <w:rPr>
                <w:rFonts w:hint="eastAsia" w:ascii="仿宋_GB2312" w:hAnsi="仿宋_GB2312" w:eastAsia="仿宋_GB2312" w:cs="仿宋_GB2312"/>
                <w:color w:val="auto"/>
                <w:sz w:val="24"/>
                <w:u w:val="none"/>
                <w:lang w:val="en-US" w:eastAsia="zh-CN"/>
              </w:rPr>
              <w:t xml:space="preserve">年增效超2500万元。 </w:t>
            </w:r>
          </w:p>
          <w:p w14:paraId="03741EC4">
            <w:pPr>
              <w:keepNext w:val="0"/>
              <w:keepLines w:val="0"/>
              <w:pageBreakBefore w:val="0"/>
              <w:kinsoku/>
              <w:overflowPunct/>
              <w:topLinePunct w:val="0"/>
              <w:autoSpaceDE/>
              <w:autoSpaceDN/>
              <w:bidi w:val="0"/>
              <w:adjustRightInd w:val="0"/>
              <w:snapToGrid w:val="0"/>
              <w:spacing w:line="500" w:lineRule="exact"/>
              <w:ind w:firstLine="514" w:firstLineChars="200"/>
              <w:jc w:val="left"/>
              <w:rPr>
                <w:rFonts w:hint="default" w:ascii="Times New Roman" w:hAnsi="Times New Roman" w:eastAsia="仿宋_GB2312" w:cs="Times New Roman"/>
                <w:color w:val="auto"/>
                <w:sz w:val="24"/>
                <w:u w:val="none"/>
                <w:lang w:val="en-US" w:eastAsia="zh-CN"/>
              </w:rPr>
            </w:pPr>
            <w:r>
              <w:rPr>
                <w:rFonts w:hint="eastAsia" w:ascii="仿宋_GB2312" w:hAnsi="仿宋_GB2312" w:eastAsia="仿宋_GB2312" w:cs="仿宋_GB2312"/>
                <w:color w:val="auto"/>
                <w:sz w:val="24"/>
                <w:u w:val="none"/>
                <w:lang w:val="en-US" w:eastAsia="zh-CN"/>
              </w:rPr>
              <w:t>社会效益方面，构</w:t>
            </w:r>
            <w:r>
              <w:rPr>
                <w:rFonts w:hint="eastAsia" w:ascii="Times New Roman" w:hAnsi="Times New Roman" w:eastAsia="仿宋_GB2312" w:cs="Times New Roman"/>
                <w:color w:val="auto"/>
                <w:sz w:val="24"/>
                <w:u w:val="none"/>
                <w:lang w:val="en-US" w:eastAsia="zh-CN"/>
              </w:rPr>
              <w:t xml:space="preserve">建“自主育种+自主疫苗”双轮驱动核心技术体系，打破国外父本种源垄断和猪病毒性腹泻高端疫苗技术跟跑被动格局；实现猪主要病毒性腹泻疫苗高效防控，避免疫病导致遗传改良中断；带动区域规模化养殖升级，全面提升我省乃至我国生猪产业种源安全与疫病防控自主可控能力。 </w:t>
            </w:r>
          </w:p>
          <w:p w14:paraId="11035455">
            <w:pPr>
              <w:keepNext w:val="0"/>
              <w:keepLines w:val="0"/>
              <w:pageBreakBefore w:val="0"/>
              <w:kinsoku/>
              <w:overflowPunct/>
              <w:topLinePunct w:val="0"/>
              <w:autoSpaceDE/>
              <w:autoSpaceDN/>
              <w:bidi w:val="0"/>
              <w:adjustRightInd w:val="0"/>
              <w:snapToGrid w:val="0"/>
              <w:spacing w:line="500" w:lineRule="exact"/>
              <w:ind w:firstLine="514" w:firstLineChars="200"/>
              <w:jc w:val="left"/>
              <w:rPr>
                <w:rFonts w:ascii="仿宋_GB2312" w:hAnsi="仿宋_GB2312" w:cs="仿宋_GB2312"/>
                <w:sz w:val="24"/>
                <w:u w:val="none"/>
              </w:rPr>
            </w:pPr>
            <w:r>
              <w:rPr>
                <w:rFonts w:hint="eastAsia" w:ascii="Times New Roman" w:hAnsi="Times New Roman" w:eastAsia="仿宋_GB2312" w:cs="Times New Roman"/>
                <w:color w:val="auto"/>
                <w:sz w:val="24"/>
                <w:u w:val="none"/>
                <w:lang w:val="en-US" w:eastAsia="zh-CN"/>
              </w:rPr>
              <w:t>生态效益方面，料比降低减少饲料消耗和氮磷排放，减轻粪污处理压力；疫苗免疫提高生产效益，减少病死猪，推动畜牧业绿色高质量发展。</w:t>
            </w:r>
          </w:p>
        </w:tc>
      </w:tr>
    </w:tbl>
    <w:p w14:paraId="4E1D663D">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u w:val="none"/>
          <w:lang w:val="en-US" w:eastAsia="zh-CN"/>
        </w:rPr>
      </w:pPr>
    </w:p>
    <w:p w14:paraId="28FA20EC">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sz w:val="32"/>
          <w:szCs w:val="32"/>
          <w:u w:val="none"/>
          <w:lang w:val="en-US" w:eastAsia="zh-CN"/>
        </w:rPr>
      </w:pPr>
    </w:p>
    <w:p w14:paraId="0095DD2D">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sz w:val="32"/>
          <w:szCs w:val="32"/>
          <w:u w:val="none"/>
          <w:lang w:val="en-US" w:eastAsia="zh-CN"/>
        </w:rPr>
      </w:pPr>
    </w:p>
    <w:p w14:paraId="350CBA4E">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sz w:val="32"/>
          <w:szCs w:val="32"/>
          <w:u w:val="none"/>
          <w:lang w:val="en-US" w:eastAsia="zh-CN"/>
        </w:rPr>
      </w:pPr>
    </w:p>
    <w:p w14:paraId="5EE466B3">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sz w:val="32"/>
          <w:szCs w:val="32"/>
          <w:u w:val="none"/>
          <w:lang w:val="en-US" w:eastAsia="zh-CN"/>
        </w:rPr>
      </w:pPr>
    </w:p>
    <w:p w14:paraId="1973C4B4">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sz w:val="32"/>
          <w:szCs w:val="32"/>
          <w:u w:val="none"/>
          <w:lang w:val="en-US" w:eastAsia="zh-CN"/>
        </w:rPr>
      </w:pPr>
    </w:p>
    <w:p w14:paraId="34DF921C">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sz w:val="32"/>
          <w:szCs w:val="32"/>
          <w:u w:val="none"/>
          <w:lang w:val="en-US" w:eastAsia="zh-CN"/>
        </w:rPr>
      </w:pPr>
    </w:p>
    <w:p w14:paraId="7909AB5A">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sz w:val="32"/>
          <w:szCs w:val="32"/>
          <w:u w:val="none"/>
          <w:lang w:val="en-US" w:eastAsia="zh-CN"/>
        </w:rPr>
      </w:pPr>
    </w:p>
    <w:p w14:paraId="38E780B4">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sz w:val="32"/>
          <w:szCs w:val="32"/>
          <w:u w:val="none"/>
          <w:lang w:val="en-US" w:eastAsia="zh-CN"/>
        </w:rPr>
      </w:pPr>
    </w:p>
    <w:p w14:paraId="393E7B94">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sz w:val="32"/>
          <w:szCs w:val="32"/>
          <w:u w:val="none"/>
          <w:lang w:val="en-US" w:eastAsia="zh-CN"/>
        </w:rPr>
      </w:pPr>
    </w:p>
    <w:p w14:paraId="1DAC0755">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sz w:val="32"/>
          <w:szCs w:val="32"/>
          <w:u w:val="none"/>
          <w:lang w:val="en-US" w:eastAsia="zh-CN"/>
        </w:rPr>
      </w:pPr>
    </w:p>
    <w:p w14:paraId="24828507">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sz w:val="32"/>
          <w:szCs w:val="32"/>
          <w:u w:val="none"/>
          <w:lang w:val="en-US" w:eastAsia="zh-CN"/>
        </w:rPr>
      </w:pPr>
    </w:p>
    <w:p w14:paraId="47B0DE53">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sz w:val="32"/>
          <w:szCs w:val="32"/>
          <w:u w:val="none"/>
          <w:lang w:val="en-US" w:eastAsia="zh-CN"/>
        </w:rPr>
      </w:pPr>
    </w:p>
    <w:p w14:paraId="1D749E5A">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sz w:val="32"/>
          <w:szCs w:val="32"/>
          <w:u w:val="none"/>
          <w:lang w:val="en-US" w:eastAsia="zh-CN"/>
        </w:rPr>
      </w:pPr>
    </w:p>
    <w:p w14:paraId="5B96B353">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sz w:val="32"/>
          <w:szCs w:val="32"/>
          <w:u w:val="none"/>
          <w:lang w:eastAsia="zh-CN"/>
        </w:rPr>
      </w:pPr>
      <w:r>
        <w:rPr>
          <w:rFonts w:hint="eastAsia" w:ascii="黑体" w:hAnsi="黑体" w:eastAsia="黑体" w:cs="黑体"/>
          <w:sz w:val="32"/>
          <w:szCs w:val="32"/>
          <w:u w:val="none"/>
          <w:lang w:val="en-US" w:eastAsia="zh-CN"/>
        </w:rPr>
        <w:t>榜单五：</w:t>
      </w:r>
      <w:r>
        <w:rPr>
          <w:rFonts w:hint="eastAsia" w:ascii="黑体" w:hAnsi="黑体" w:eastAsia="黑体" w:cs="黑体"/>
          <w:sz w:val="32"/>
          <w:szCs w:val="32"/>
          <w:u w:val="none"/>
        </w:rPr>
        <w:t>面向氟化工高危场景的本质安全</w:t>
      </w:r>
      <w:r>
        <w:rPr>
          <w:rFonts w:hint="eastAsia" w:ascii="黑体" w:hAnsi="黑体" w:eastAsia="黑体" w:cs="黑体"/>
          <w:sz w:val="32"/>
          <w:szCs w:val="32"/>
          <w:u w:val="none"/>
          <w:lang w:eastAsia="zh-CN"/>
        </w:rPr>
        <w:t>智能</w:t>
      </w:r>
      <w:r>
        <w:rPr>
          <w:rFonts w:hint="eastAsia" w:ascii="黑体" w:hAnsi="黑体" w:eastAsia="黑体" w:cs="黑体"/>
          <w:sz w:val="32"/>
          <w:szCs w:val="32"/>
          <w:u w:val="none"/>
        </w:rPr>
        <w:t>预警检测关键技术研发及示范应用</w:t>
      </w:r>
      <w:r>
        <w:rPr>
          <w:rFonts w:hint="eastAsia" w:ascii="黑体" w:hAnsi="黑体" w:eastAsia="黑体" w:cs="黑体"/>
          <w:sz w:val="32"/>
          <w:szCs w:val="32"/>
          <w:u w:val="none"/>
          <w:lang w:eastAsia="zh-CN"/>
        </w:rPr>
        <w:t>（指南代码：</w:t>
      </w:r>
      <w:r>
        <w:rPr>
          <w:rFonts w:hint="eastAsia" w:ascii="黑体" w:hAnsi="黑体" w:eastAsia="黑体" w:cs="黑体"/>
          <w:sz w:val="32"/>
          <w:szCs w:val="32"/>
          <w:u w:val="none"/>
          <w:lang w:val="en-US" w:eastAsia="zh-CN"/>
        </w:rPr>
        <w:t>2026YZ0121</w:t>
      </w:r>
      <w:r>
        <w:rPr>
          <w:rFonts w:hint="eastAsia" w:ascii="黑体" w:hAnsi="黑体" w:eastAsia="黑体" w:cs="黑体"/>
          <w:sz w:val="32"/>
          <w:szCs w:val="32"/>
          <w:u w:val="none"/>
          <w:lang w:eastAsia="zh-CN"/>
        </w:rPr>
        <w:t>）</w:t>
      </w:r>
    </w:p>
    <w:tbl>
      <w:tblPr>
        <w:tblStyle w:val="12"/>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Layout w:type="fixed"/>
        <w:tblCellMar>
          <w:top w:w="57" w:type="dxa"/>
          <w:left w:w="57" w:type="dxa"/>
          <w:bottom w:w="57" w:type="dxa"/>
          <w:right w:w="57" w:type="dxa"/>
        </w:tblCellMar>
      </w:tblPr>
      <w:tblGrid>
        <w:gridCol w:w="1023"/>
        <w:gridCol w:w="588"/>
        <w:gridCol w:w="3511"/>
        <w:gridCol w:w="3278"/>
      </w:tblGrid>
      <w:tr w14:paraId="046B7D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567" w:hRule="atLeast"/>
          <w:jc w:val="center"/>
        </w:trPr>
        <w:tc>
          <w:tcPr>
            <w:tcW w:w="1611" w:type="dxa"/>
            <w:gridSpan w:val="2"/>
            <w:tcBorders>
              <w:top w:val="single" w:color="auto" w:sz="6" w:space="0"/>
              <w:left w:val="single" w:color="auto" w:sz="6" w:space="0"/>
              <w:bottom w:val="single" w:color="auto" w:sz="6" w:space="0"/>
              <w:right w:val="single" w:color="auto" w:sz="6" w:space="0"/>
            </w:tcBorders>
            <w:shd w:val="clear" w:color="auto" w:fill="FFFFFF"/>
            <w:noWrap w:val="0"/>
            <w:vAlign w:val="center"/>
          </w:tcPr>
          <w:p w14:paraId="4B19239F">
            <w:pPr>
              <w:keepNext w:val="0"/>
              <w:keepLines w:val="0"/>
              <w:pageBreakBefore w:val="0"/>
              <w:kinsoku/>
              <w:overflowPunct/>
              <w:topLinePunct w:val="0"/>
              <w:autoSpaceDE/>
              <w:autoSpaceDN/>
              <w:bidi w:val="0"/>
              <w:adjustRightInd w:val="0"/>
              <w:snapToGrid w:val="0"/>
              <w:spacing w:line="240" w:lineRule="auto"/>
              <w:jc w:val="center"/>
              <w:rPr>
                <w:rFonts w:hint="eastAsia" w:ascii="仿宋_GB2312" w:hAnsi="仿宋_GB2312" w:eastAsia="仿宋_GB2312" w:cs="仿宋_GB2312"/>
                <w:sz w:val="24"/>
                <w:szCs w:val="24"/>
                <w:u w:val="none"/>
                <w:lang w:bidi="ar"/>
              </w:rPr>
            </w:pPr>
            <w:r>
              <w:rPr>
                <w:rFonts w:hint="eastAsia" w:ascii="仿宋_GB2312" w:hAnsi="仿宋_GB2312" w:eastAsia="仿宋_GB2312" w:cs="仿宋_GB2312"/>
                <w:sz w:val="24"/>
                <w:szCs w:val="24"/>
                <w:u w:val="none"/>
                <w:lang w:bidi="ar"/>
              </w:rPr>
              <w:t>重大技术</w:t>
            </w:r>
          </w:p>
          <w:p w14:paraId="0FA28DAD">
            <w:pPr>
              <w:keepNext w:val="0"/>
              <w:keepLines w:val="0"/>
              <w:pageBreakBefore w:val="0"/>
              <w:kinsoku/>
              <w:overflowPunct/>
              <w:topLinePunct w:val="0"/>
              <w:autoSpaceDE/>
              <w:autoSpaceDN/>
              <w:bidi w:val="0"/>
              <w:adjustRightInd w:val="0"/>
              <w:snapToGrid w:val="0"/>
              <w:spacing w:line="240" w:lineRule="auto"/>
              <w:jc w:val="center"/>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lang w:bidi="ar"/>
              </w:rPr>
              <w:t>需求（难题）题目</w:t>
            </w:r>
          </w:p>
        </w:tc>
        <w:tc>
          <w:tcPr>
            <w:tcW w:w="6789" w:type="dxa"/>
            <w:gridSpan w:val="2"/>
            <w:tcBorders>
              <w:top w:val="single" w:color="auto" w:sz="6" w:space="0"/>
              <w:left w:val="single" w:color="auto" w:sz="6" w:space="0"/>
              <w:bottom w:val="single" w:color="auto" w:sz="6" w:space="0"/>
              <w:right w:val="single" w:color="auto" w:sz="6" w:space="0"/>
            </w:tcBorders>
            <w:shd w:val="clear" w:color="auto" w:fill="FFFFFF"/>
            <w:noWrap w:val="0"/>
            <w:vAlign w:val="center"/>
          </w:tcPr>
          <w:p w14:paraId="5EC3A33E">
            <w:pPr>
              <w:keepNext w:val="0"/>
              <w:keepLines w:val="0"/>
              <w:pageBreakBefore w:val="0"/>
              <w:kinsoku/>
              <w:overflowPunct/>
              <w:topLinePunct w:val="0"/>
              <w:autoSpaceDE/>
              <w:autoSpaceDN/>
              <w:bidi w:val="0"/>
              <w:adjustRightInd w:val="0"/>
              <w:snapToGrid w:val="0"/>
              <w:spacing w:line="240" w:lineRule="auto"/>
              <w:jc w:val="center"/>
              <w:rPr>
                <w:rFonts w:hint="eastAsia" w:ascii="仿宋_GB2312" w:hAnsi="仿宋_GB2312" w:eastAsia="仿宋_GB2312" w:cs="仿宋_GB2312"/>
                <w:sz w:val="24"/>
                <w:szCs w:val="24"/>
                <w:u w:val="none"/>
                <w:lang w:bidi="ar"/>
              </w:rPr>
            </w:pPr>
            <w:r>
              <w:rPr>
                <w:rFonts w:hint="eastAsia" w:ascii="仿宋_GB2312" w:hAnsi="仿宋_GB2312" w:eastAsia="仿宋_GB2312" w:cs="仿宋_GB2312"/>
                <w:sz w:val="24"/>
                <w:szCs w:val="24"/>
                <w:u w:val="none"/>
                <w:lang w:bidi="ar"/>
              </w:rPr>
              <w:t>面向氟化工高危场景的本质安全智能预警检测关键技术研发及示范应用</w:t>
            </w:r>
          </w:p>
        </w:tc>
      </w:tr>
      <w:tr w14:paraId="0370D6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567" w:hRule="atLeast"/>
          <w:jc w:val="center"/>
        </w:trPr>
        <w:tc>
          <w:tcPr>
            <w:tcW w:w="1611" w:type="dxa"/>
            <w:gridSpan w:val="2"/>
            <w:tcBorders>
              <w:top w:val="single" w:color="auto" w:sz="6" w:space="0"/>
              <w:left w:val="single" w:color="auto" w:sz="6" w:space="0"/>
              <w:bottom w:val="single" w:color="auto" w:sz="6" w:space="0"/>
              <w:right w:val="single" w:color="auto" w:sz="6" w:space="0"/>
            </w:tcBorders>
            <w:shd w:val="clear" w:color="auto" w:fill="FFFFFF"/>
            <w:noWrap w:val="0"/>
            <w:vAlign w:val="center"/>
          </w:tcPr>
          <w:p w14:paraId="158B62D4">
            <w:pPr>
              <w:keepNext w:val="0"/>
              <w:keepLines w:val="0"/>
              <w:pageBreakBefore w:val="0"/>
              <w:kinsoku/>
              <w:overflowPunct/>
              <w:topLinePunct w:val="0"/>
              <w:autoSpaceDE/>
              <w:autoSpaceDN/>
              <w:bidi w:val="0"/>
              <w:adjustRightInd w:val="0"/>
              <w:snapToGrid w:val="0"/>
              <w:spacing w:line="240" w:lineRule="auto"/>
              <w:jc w:val="center"/>
              <w:rPr>
                <w:rFonts w:hint="eastAsia" w:ascii="仿宋_GB2312" w:hAnsi="仿宋_GB2312" w:eastAsia="仿宋_GB2312" w:cs="仿宋_GB2312"/>
                <w:sz w:val="24"/>
                <w:szCs w:val="24"/>
                <w:u w:val="none"/>
                <w:lang w:bidi="ar"/>
              </w:rPr>
            </w:pPr>
            <w:r>
              <w:rPr>
                <w:rFonts w:hint="eastAsia" w:ascii="仿宋_GB2312" w:hAnsi="仿宋_GB2312" w:eastAsia="仿宋_GB2312" w:cs="仿宋_GB2312"/>
                <w:sz w:val="24"/>
                <w:szCs w:val="24"/>
                <w:u w:val="none"/>
                <w:lang w:bidi="ar"/>
              </w:rPr>
              <w:t>所属重大</w:t>
            </w:r>
          </w:p>
          <w:p w14:paraId="3CB29145">
            <w:pPr>
              <w:keepNext w:val="0"/>
              <w:keepLines w:val="0"/>
              <w:pageBreakBefore w:val="0"/>
              <w:kinsoku/>
              <w:overflowPunct/>
              <w:topLinePunct w:val="0"/>
              <w:autoSpaceDE/>
              <w:autoSpaceDN/>
              <w:bidi w:val="0"/>
              <w:adjustRightInd w:val="0"/>
              <w:snapToGrid w:val="0"/>
              <w:spacing w:line="240" w:lineRule="auto"/>
              <w:jc w:val="center"/>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lang w:bidi="ar"/>
              </w:rPr>
              <w:t>专项</w:t>
            </w:r>
          </w:p>
        </w:tc>
        <w:tc>
          <w:tcPr>
            <w:tcW w:w="6789" w:type="dxa"/>
            <w:gridSpan w:val="2"/>
            <w:tcBorders>
              <w:top w:val="single" w:color="auto" w:sz="6" w:space="0"/>
              <w:left w:val="single" w:color="auto" w:sz="6" w:space="0"/>
              <w:bottom w:val="single" w:color="auto" w:sz="6" w:space="0"/>
              <w:right w:val="single" w:color="auto" w:sz="6" w:space="0"/>
            </w:tcBorders>
            <w:shd w:val="clear" w:color="auto" w:fill="FFFFFF"/>
            <w:noWrap w:val="0"/>
            <w:vAlign w:val="center"/>
          </w:tcPr>
          <w:p w14:paraId="3BE6205B">
            <w:pPr>
              <w:keepNext w:val="0"/>
              <w:keepLines w:val="0"/>
              <w:pageBreakBefore w:val="0"/>
              <w:kinsoku/>
              <w:overflowPunct/>
              <w:topLinePunct w:val="0"/>
              <w:autoSpaceDE/>
              <w:autoSpaceDN/>
              <w:bidi w:val="0"/>
              <w:adjustRightInd w:val="0"/>
              <w:snapToGrid w:val="0"/>
              <w:spacing w:line="240" w:lineRule="auto"/>
              <w:jc w:val="center"/>
              <w:rPr>
                <w:rFonts w:hint="eastAsia" w:ascii="仿宋_GB2312" w:hAnsi="仿宋_GB2312" w:eastAsia="仿宋_GB2312" w:cs="仿宋_GB2312"/>
                <w:sz w:val="24"/>
                <w:szCs w:val="24"/>
                <w:u w:val="none"/>
                <w:lang w:bidi="ar"/>
              </w:rPr>
            </w:pPr>
            <w:r>
              <w:rPr>
                <w:rFonts w:hint="eastAsia" w:ascii="仿宋_GB2312" w:hAnsi="仿宋_GB2312" w:cs="仿宋_GB2312"/>
                <w:sz w:val="24"/>
                <w:szCs w:val="24"/>
                <w:u w:val="none"/>
                <w:lang w:eastAsia="zh-CN" w:bidi="ar"/>
              </w:rPr>
              <w:t>公共安全关键技术与装备</w:t>
            </w:r>
          </w:p>
        </w:tc>
      </w:tr>
      <w:tr w14:paraId="541A17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567" w:hRule="atLeast"/>
          <w:jc w:val="center"/>
        </w:trPr>
        <w:tc>
          <w:tcPr>
            <w:tcW w:w="1611" w:type="dxa"/>
            <w:gridSpan w:val="2"/>
            <w:tcBorders>
              <w:top w:val="single" w:color="auto" w:sz="6" w:space="0"/>
              <w:left w:val="single" w:color="auto" w:sz="6" w:space="0"/>
              <w:bottom w:val="single" w:color="auto" w:sz="6" w:space="0"/>
              <w:right w:val="single" w:color="auto" w:sz="6" w:space="0"/>
            </w:tcBorders>
            <w:shd w:val="clear" w:color="auto" w:fill="FFFFFF"/>
            <w:noWrap w:val="0"/>
            <w:vAlign w:val="center"/>
          </w:tcPr>
          <w:p w14:paraId="7C6122B9">
            <w:pPr>
              <w:keepNext w:val="0"/>
              <w:keepLines w:val="0"/>
              <w:pageBreakBefore w:val="0"/>
              <w:kinsoku/>
              <w:overflowPunct/>
              <w:topLinePunct w:val="0"/>
              <w:autoSpaceDE/>
              <w:autoSpaceDN/>
              <w:bidi w:val="0"/>
              <w:adjustRightInd w:val="0"/>
              <w:snapToGrid w:val="0"/>
              <w:spacing w:line="240" w:lineRule="auto"/>
              <w:jc w:val="center"/>
              <w:rPr>
                <w:rFonts w:hint="eastAsia" w:ascii="仿宋_GB2312" w:hAnsi="仿宋_GB2312" w:eastAsia="仿宋_GB2312" w:cs="仿宋_GB2312"/>
                <w:sz w:val="24"/>
                <w:szCs w:val="24"/>
                <w:u w:val="none"/>
                <w:lang w:bidi="ar"/>
              </w:rPr>
            </w:pPr>
            <w:r>
              <w:rPr>
                <w:rFonts w:hint="eastAsia" w:ascii="仿宋_GB2312" w:hAnsi="仿宋_GB2312" w:eastAsia="仿宋_GB2312" w:cs="仿宋_GB2312"/>
                <w:sz w:val="24"/>
                <w:szCs w:val="24"/>
                <w:u w:val="none"/>
                <w:lang w:bidi="ar"/>
              </w:rPr>
              <w:t>所属行业</w:t>
            </w:r>
          </w:p>
          <w:p w14:paraId="55EFC4DA">
            <w:pPr>
              <w:keepNext w:val="0"/>
              <w:keepLines w:val="0"/>
              <w:pageBreakBefore w:val="0"/>
              <w:kinsoku/>
              <w:overflowPunct/>
              <w:topLinePunct w:val="0"/>
              <w:autoSpaceDE/>
              <w:autoSpaceDN/>
              <w:bidi w:val="0"/>
              <w:adjustRightInd w:val="0"/>
              <w:snapToGrid w:val="0"/>
              <w:spacing w:line="240" w:lineRule="auto"/>
              <w:jc w:val="center"/>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lang w:bidi="ar"/>
              </w:rPr>
              <w:t>领域</w:t>
            </w:r>
          </w:p>
        </w:tc>
        <w:tc>
          <w:tcPr>
            <w:tcW w:w="6789" w:type="dxa"/>
            <w:gridSpan w:val="2"/>
            <w:tcBorders>
              <w:top w:val="single" w:color="auto" w:sz="6" w:space="0"/>
              <w:left w:val="single" w:color="auto" w:sz="6" w:space="0"/>
              <w:bottom w:val="single" w:color="auto" w:sz="6" w:space="0"/>
              <w:right w:val="single" w:color="auto" w:sz="6" w:space="0"/>
            </w:tcBorders>
            <w:shd w:val="clear" w:color="auto" w:fill="FFFFFF"/>
            <w:noWrap w:val="0"/>
            <w:vAlign w:val="center"/>
          </w:tcPr>
          <w:p w14:paraId="1FF8064C">
            <w:pPr>
              <w:keepNext w:val="0"/>
              <w:keepLines w:val="0"/>
              <w:pageBreakBefore w:val="0"/>
              <w:kinsoku/>
              <w:overflowPunct/>
              <w:topLinePunct w:val="0"/>
              <w:autoSpaceDE/>
              <w:autoSpaceDN/>
              <w:bidi w:val="0"/>
              <w:adjustRightInd w:val="0"/>
              <w:snapToGrid w:val="0"/>
              <w:spacing w:line="240" w:lineRule="auto"/>
              <w:jc w:val="center"/>
              <w:rPr>
                <w:rFonts w:hint="eastAsia" w:ascii="仿宋_GB2312" w:hAnsi="仿宋_GB2312" w:eastAsia="仿宋_GB2312" w:cs="仿宋_GB2312"/>
                <w:sz w:val="24"/>
                <w:szCs w:val="24"/>
                <w:u w:val="none"/>
                <w:lang w:bidi="ar"/>
              </w:rPr>
            </w:pPr>
            <w:r>
              <w:rPr>
                <w:rFonts w:hint="eastAsia" w:ascii="仿宋_GB2312" w:hAnsi="仿宋_GB2312" w:eastAsia="仿宋_GB2312" w:cs="仿宋_GB2312"/>
                <w:sz w:val="24"/>
                <w:szCs w:val="24"/>
                <w:u w:val="none"/>
                <w:lang w:bidi="ar"/>
              </w:rPr>
              <w:t>公共安全</w:t>
            </w:r>
          </w:p>
        </w:tc>
      </w:tr>
      <w:tr w14:paraId="697AB8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12" w:hRule="atLeast"/>
          <w:jc w:val="center"/>
        </w:trPr>
        <w:tc>
          <w:tcPr>
            <w:tcW w:w="1611" w:type="dxa"/>
            <w:gridSpan w:val="2"/>
            <w:tcBorders>
              <w:top w:val="single" w:color="auto" w:sz="6" w:space="0"/>
              <w:left w:val="single" w:color="auto" w:sz="6" w:space="0"/>
              <w:bottom w:val="single" w:color="auto" w:sz="6" w:space="0"/>
              <w:right w:val="single" w:color="auto" w:sz="6" w:space="0"/>
            </w:tcBorders>
            <w:shd w:val="clear" w:color="auto" w:fill="FFFFFF"/>
            <w:noWrap w:val="0"/>
            <w:vAlign w:val="center"/>
          </w:tcPr>
          <w:p w14:paraId="692F844B">
            <w:pPr>
              <w:keepNext w:val="0"/>
              <w:keepLines w:val="0"/>
              <w:pageBreakBefore w:val="0"/>
              <w:kinsoku/>
              <w:overflowPunct/>
              <w:topLinePunct w:val="0"/>
              <w:autoSpaceDE/>
              <w:autoSpaceDN/>
              <w:bidi w:val="0"/>
              <w:adjustRightInd w:val="0"/>
              <w:snapToGrid w:val="0"/>
              <w:spacing w:line="240" w:lineRule="auto"/>
              <w:jc w:val="center"/>
              <w:rPr>
                <w:rFonts w:hint="eastAsia" w:ascii="仿宋_GB2312" w:hAnsi="仿宋_GB2312" w:eastAsia="仿宋_GB2312" w:cs="仿宋_GB2312"/>
                <w:sz w:val="24"/>
                <w:szCs w:val="24"/>
                <w:u w:val="none"/>
                <w:lang w:bidi="ar"/>
              </w:rPr>
            </w:pPr>
            <w:r>
              <w:rPr>
                <w:rFonts w:hint="eastAsia" w:ascii="仿宋_GB2312" w:hAnsi="仿宋_GB2312" w:eastAsia="仿宋_GB2312" w:cs="仿宋_GB2312"/>
                <w:sz w:val="24"/>
                <w:szCs w:val="24"/>
                <w:u w:val="none"/>
                <w:lang w:bidi="ar"/>
              </w:rPr>
              <w:t>技术难题</w:t>
            </w:r>
          </w:p>
          <w:p w14:paraId="3238344A">
            <w:pPr>
              <w:keepNext w:val="0"/>
              <w:keepLines w:val="0"/>
              <w:pageBreakBefore w:val="0"/>
              <w:kinsoku/>
              <w:overflowPunct/>
              <w:topLinePunct w:val="0"/>
              <w:autoSpaceDE/>
              <w:autoSpaceDN/>
              <w:bidi w:val="0"/>
              <w:adjustRightInd w:val="0"/>
              <w:snapToGrid w:val="0"/>
              <w:spacing w:line="240" w:lineRule="auto"/>
              <w:jc w:val="center"/>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lang w:bidi="ar"/>
              </w:rPr>
              <w:t>性质</w:t>
            </w:r>
          </w:p>
        </w:tc>
        <w:tc>
          <w:tcPr>
            <w:tcW w:w="6789" w:type="dxa"/>
            <w:gridSpan w:val="2"/>
            <w:tcBorders>
              <w:top w:val="single" w:color="auto" w:sz="6" w:space="0"/>
              <w:left w:val="single" w:color="auto" w:sz="6" w:space="0"/>
              <w:bottom w:val="single" w:color="auto" w:sz="6" w:space="0"/>
              <w:right w:val="single" w:color="auto" w:sz="6" w:space="0"/>
            </w:tcBorders>
            <w:shd w:val="clear" w:color="auto" w:fill="FFFFFF"/>
            <w:noWrap w:val="0"/>
            <w:vAlign w:val="center"/>
          </w:tcPr>
          <w:p w14:paraId="134D542F">
            <w:pPr>
              <w:keepNext w:val="0"/>
              <w:keepLines w:val="0"/>
              <w:pageBreakBefore w:val="0"/>
              <w:kinsoku/>
              <w:overflowPunct/>
              <w:topLinePunct w:val="0"/>
              <w:autoSpaceDE/>
              <w:autoSpaceDN/>
              <w:bidi w:val="0"/>
              <w:adjustRightInd w:val="0"/>
              <w:snapToGrid w:val="0"/>
              <w:spacing w:line="240" w:lineRule="auto"/>
              <w:jc w:val="center"/>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lang w:bidi="ar"/>
              </w:rPr>
              <w:t xml:space="preserve">☑ 需要外部科研力量帮助解决 □ 企业依靠自身力量能解决 </w:t>
            </w:r>
          </w:p>
        </w:tc>
      </w:tr>
      <w:tr w14:paraId="31951A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39" w:hRule="atLeast"/>
          <w:jc w:val="center"/>
        </w:trPr>
        <w:tc>
          <w:tcPr>
            <w:tcW w:w="8400" w:type="dxa"/>
            <w:gridSpan w:val="4"/>
            <w:tcBorders>
              <w:top w:val="single" w:color="auto" w:sz="6" w:space="0"/>
              <w:left w:val="single" w:color="auto" w:sz="6" w:space="0"/>
              <w:bottom w:val="single" w:color="auto" w:sz="6" w:space="0"/>
              <w:right w:val="single" w:color="auto" w:sz="6" w:space="0"/>
            </w:tcBorders>
            <w:shd w:val="clear" w:color="auto" w:fill="FFFFFF"/>
            <w:noWrap w:val="0"/>
            <w:vAlign w:val="center"/>
          </w:tcPr>
          <w:p w14:paraId="2ABC0510">
            <w:pPr>
              <w:keepNext w:val="0"/>
              <w:keepLines w:val="0"/>
              <w:pageBreakBefore w:val="0"/>
              <w:kinsoku/>
              <w:overflowPunct/>
              <w:topLinePunct w:val="0"/>
              <w:autoSpaceDE/>
              <w:autoSpaceDN/>
              <w:bidi w:val="0"/>
              <w:adjustRightInd w:val="0"/>
              <w:snapToGrid w:val="0"/>
              <w:spacing w:line="240" w:lineRule="auto"/>
              <w:jc w:val="center"/>
              <w:rPr>
                <w:rFonts w:hint="eastAsia" w:ascii="仿宋_GB2312" w:hAnsi="仿宋_GB2312" w:eastAsia="仿宋_GB2312" w:cs="仿宋_GB2312"/>
                <w:b/>
                <w:sz w:val="24"/>
                <w:szCs w:val="24"/>
                <w:u w:val="none"/>
              </w:rPr>
            </w:pPr>
            <w:r>
              <w:rPr>
                <w:rFonts w:hint="eastAsia" w:ascii="仿宋_GB2312" w:hAnsi="仿宋_GB2312" w:eastAsia="仿宋_GB2312" w:cs="仿宋_GB2312"/>
                <w:b/>
                <w:sz w:val="24"/>
                <w:szCs w:val="24"/>
                <w:u w:val="none"/>
                <w:lang w:bidi="ar"/>
              </w:rPr>
              <w:t>揭榜方须完成或满足的内容</w:t>
            </w:r>
          </w:p>
        </w:tc>
      </w:tr>
      <w:tr w14:paraId="510C19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742" w:hRule="atLeast"/>
          <w:jc w:val="center"/>
        </w:trPr>
        <w:tc>
          <w:tcPr>
            <w:tcW w:w="1023"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7DCD8F91">
            <w:pPr>
              <w:keepNext w:val="0"/>
              <w:keepLines w:val="0"/>
              <w:pageBreakBefore w:val="0"/>
              <w:kinsoku/>
              <w:overflowPunct/>
              <w:topLinePunct w:val="0"/>
              <w:autoSpaceDE/>
              <w:autoSpaceDN/>
              <w:bidi w:val="0"/>
              <w:adjustRightInd w:val="0"/>
              <w:snapToGrid w:val="0"/>
              <w:spacing w:line="240" w:lineRule="auto"/>
              <w:jc w:val="center"/>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lang w:bidi="ar"/>
              </w:rPr>
              <w:t>技术难题和攻关内容（</w:t>
            </w:r>
            <w:r>
              <w:rPr>
                <w:rFonts w:hint="eastAsia" w:ascii="仿宋_GB2312" w:hAnsi="仿宋_GB2312" w:eastAsia="仿宋_GB2312" w:cs="仿宋_GB2312"/>
                <w:spacing w:val="-11"/>
                <w:sz w:val="24"/>
                <w:szCs w:val="24"/>
                <w:u w:val="none"/>
                <w:lang w:bidi="ar"/>
              </w:rPr>
              <w:t>限500</w:t>
            </w:r>
          </w:p>
          <w:p w14:paraId="2D6B0296">
            <w:pPr>
              <w:keepNext w:val="0"/>
              <w:keepLines w:val="0"/>
              <w:pageBreakBefore w:val="0"/>
              <w:kinsoku/>
              <w:overflowPunct/>
              <w:topLinePunct w:val="0"/>
              <w:autoSpaceDE/>
              <w:autoSpaceDN/>
              <w:bidi w:val="0"/>
              <w:adjustRightInd w:val="0"/>
              <w:snapToGrid w:val="0"/>
              <w:spacing w:line="240" w:lineRule="auto"/>
              <w:jc w:val="center"/>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lang w:bidi="ar"/>
              </w:rPr>
              <w:t>字以内）</w:t>
            </w:r>
          </w:p>
        </w:tc>
        <w:tc>
          <w:tcPr>
            <w:tcW w:w="7377" w:type="dxa"/>
            <w:gridSpan w:val="3"/>
            <w:tcBorders>
              <w:top w:val="single" w:color="auto" w:sz="6" w:space="0"/>
              <w:left w:val="single" w:color="auto" w:sz="6" w:space="0"/>
              <w:bottom w:val="single" w:color="auto" w:sz="6" w:space="0"/>
              <w:right w:val="single" w:color="auto" w:sz="6" w:space="0"/>
            </w:tcBorders>
            <w:shd w:val="clear" w:color="auto" w:fill="FFFFFF"/>
            <w:noWrap w:val="0"/>
            <w:vAlign w:val="top"/>
          </w:tcPr>
          <w:p w14:paraId="69EA2BEB">
            <w:pPr>
              <w:keepNext w:val="0"/>
              <w:keepLines w:val="0"/>
              <w:pageBreakBefore w:val="0"/>
              <w:kinsoku/>
              <w:overflowPunct/>
              <w:topLinePunct w:val="0"/>
              <w:autoSpaceDE/>
              <w:autoSpaceDN/>
              <w:bidi w:val="0"/>
              <w:adjustRightInd w:val="0"/>
              <w:snapToGrid w:val="0"/>
              <w:spacing w:line="240" w:lineRule="auto"/>
              <w:ind w:firstLine="514" w:firstLineChars="200"/>
              <w:jc w:val="left"/>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lang w:bidi="ar"/>
              </w:rPr>
              <w:t>氟化工生产面临高温高压、强腐蚀及有毒有害介质风险，现有监测手段碎片化，多源数据形成信息孤岛，设备隐性泄漏及内部缺陷识别、复杂工况与小样本条件下的风险预警能力不足，需借助外部科研力量开展攻关。拟研发多源数据融合与报警协同、多源信息与工艺融合识别、工艺约束预测与跨工况诊断方法，形成内置氟化工典型高危工艺机理知识库的软件平台；知识库覆盖氟化、精馏、萃取、含氟危化仓储。利用现有系统、新增测点及成熟智能终端，贯通监测、预警、诊断、巡检和处置，开展跨单元示范。现状量化基线以现场核查及测试为准，具体实施条件、接口与数据权限由合作协议落实。</w:t>
            </w:r>
          </w:p>
        </w:tc>
      </w:tr>
      <w:tr w14:paraId="44821E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322" w:hRule="atLeast"/>
          <w:jc w:val="center"/>
        </w:trPr>
        <w:tc>
          <w:tcPr>
            <w:tcW w:w="1023"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43F83FA2">
            <w:pPr>
              <w:keepNext w:val="0"/>
              <w:keepLines w:val="0"/>
              <w:pageBreakBefore w:val="0"/>
              <w:kinsoku/>
              <w:overflowPunct/>
              <w:topLinePunct w:val="0"/>
              <w:autoSpaceDE/>
              <w:autoSpaceDN/>
              <w:bidi w:val="0"/>
              <w:adjustRightInd w:val="0"/>
              <w:snapToGrid w:val="0"/>
              <w:spacing w:line="240" w:lineRule="auto"/>
              <w:jc w:val="center"/>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lang w:bidi="ar"/>
              </w:rPr>
              <w:t>技术攻关后希望达到的预期技术目标（限500字以内）</w:t>
            </w:r>
          </w:p>
        </w:tc>
        <w:tc>
          <w:tcPr>
            <w:tcW w:w="7377" w:type="dxa"/>
            <w:gridSpan w:val="3"/>
            <w:tcBorders>
              <w:top w:val="single" w:color="auto" w:sz="6" w:space="0"/>
              <w:left w:val="single" w:color="auto" w:sz="6" w:space="0"/>
              <w:bottom w:val="single" w:color="auto" w:sz="6" w:space="0"/>
              <w:right w:val="single" w:color="auto" w:sz="6" w:space="0"/>
            </w:tcBorders>
            <w:shd w:val="clear" w:color="auto" w:fill="FFFFFF"/>
            <w:noWrap w:val="0"/>
            <w:vAlign w:val="center"/>
          </w:tcPr>
          <w:p w14:paraId="1EA5536C">
            <w:pPr>
              <w:keepNext w:val="0"/>
              <w:keepLines w:val="0"/>
              <w:pageBreakBefore w:val="0"/>
              <w:kinsoku/>
              <w:overflowPunct/>
              <w:topLinePunct w:val="0"/>
              <w:autoSpaceDE/>
              <w:autoSpaceDN/>
              <w:bidi w:val="0"/>
              <w:adjustRightInd w:val="0"/>
              <w:snapToGrid w:val="0"/>
              <w:spacing w:line="240" w:lineRule="auto"/>
              <w:ind w:firstLine="514" w:firstLineChars="200"/>
              <w:jc w:val="left"/>
              <w:rPr>
                <w:rFonts w:hint="eastAsia" w:ascii="仿宋_GB2312" w:hAnsi="仿宋_GB2312" w:eastAsia="仿宋_GB2312" w:cs="仿宋_GB2312"/>
                <w:sz w:val="24"/>
                <w:szCs w:val="24"/>
                <w:u w:val="none"/>
                <w:lang w:bidi="ar"/>
              </w:rPr>
            </w:pPr>
            <w:r>
              <w:rPr>
                <w:rFonts w:hint="eastAsia" w:ascii="仿宋_GB2312" w:hAnsi="仿宋_GB2312" w:eastAsia="仿宋_GB2312" w:cs="仿宋_GB2312"/>
                <w:sz w:val="24"/>
                <w:szCs w:val="24"/>
                <w:u w:val="none"/>
                <w:lang w:bidi="ar"/>
              </w:rPr>
              <w:t>1.接入液位、温度、压力、振动、气体及粉尘浓度等现有数据，重大危险源关键点100%接入；平台接收至展示P95≤5秒，报警60秒内触达率≥99%，处置全程追溯。</w:t>
            </w:r>
          </w:p>
          <w:p w14:paraId="66F1E2DF">
            <w:pPr>
              <w:keepNext w:val="0"/>
              <w:keepLines w:val="0"/>
              <w:pageBreakBefore w:val="0"/>
              <w:kinsoku/>
              <w:overflowPunct/>
              <w:topLinePunct w:val="0"/>
              <w:autoSpaceDE/>
              <w:autoSpaceDN/>
              <w:bidi w:val="0"/>
              <w:adjustRightInd w:val="0"/>
              <w:snapToGrid w:val="0"/>
              <w:spacing w:line="240" w:lineRule="auto"/>
              <w:ind w:firstLine="514" w:firstLineChars="200"/>
              <w:jc w:val="left"/>
              <w:rPr>
                <w:rFonts w:hint="eastAsia" w:ascii="仿宋_GB2312" w:hAnsi="仿宋_GB2312" w:eastAsia="仿宋_GB2312" w:cs="仿宋_GB2312"/>
                <w:sz w:val="24"/>
                <w:szCs w:val="24"/>
                <w:u w:val="none"/>
                <w:lang w:bidi="ar"/>
              </w:rPr>
            </w:pPr>
            <w:r>
              <w:rPr>
                <w:rFonts w:hint="eastAsia" w:ascii="仿宋_GB2312" w:hAnsi="仿宋_GB2312" w:eastAsia="仿宋_GB2312" w:cs="仿宋_GB2312"/>
                <w:sz w:val="24"/>
                <w:szCs w:val="24"/>
                <w:u w:val="none"/>
                <w:lang w:bidi="ar"/>
              </w:rPr>
              <w:t>2.火焰、烟雾及≥3类不安全行为，各类精确率/召回率≥92%；≥3类污染治理风险预警，≥1类重大危险源远程巡检。</w:t>
            </w:r>
          </w:p>
          <w:p w14:paraId="528DC1F4">
            <w:pPr>
              <w:keepNext w:val="0"/>
              <w:keepLines w:val="0"/>
              <w:pageBreakBefore w:val="0"/>
              <w:kinsoku/>
              <w:overflowPunct/>
              <w:topLinePunct w:val="0"/>
              <w:autoSpaceDE/>
              <w:autoSpaceDN/>
              <w:bidi w:val="0"/>
              <w:adjustRightInd w:val="0"/>
              <w:snapToGrid w:val="0"/>
              <w:spacing w:line="240" w:lineRule="auto"/>
              <w:ind w:firstLine="514" w:firstLineChars="200"/>
              <w:jc w:val="left"/>
              <w:rPr>
                <w:rFonts w:hint="eastAsia" w:ascii="仿宋_GB2312" w:hAnsi="仿宋_GB2312" w:eastAsia="仿宋_GB2312" w:cs="仿宋_GB2312"/>
                <w:sz w:val="24"/>
                <w:szCs w:val="24"/>
                <w:u w:val="none"/>
                <w:lang w:bidi="ar"/>
              </w:rPr>
            </w:pPr>
            <w:r>
              <w:rPr>
                <w:rFonts w:hint="eastAsia" w:ascii="仿宋_GB2312" w:hAnsi="仿宋_GB2312" w:eastAsia="仿宋_GB2312" w:cs="仿宋_GB2312"/>
                <w:sz w:val="24"/>
                <w:szCs w:val="24"/>
                <w:u w:val="none"/>
                <w:lang w:bidi="ar"/>
              </w:rPr>
              <w:t>3.≥3类缓变参数3分钟后预测归一化平均绝对误差≤8%；≥6类动设备、≥8类故障、≥4类工况，各工况诊断准确率≥96%、各故障召回率≥90%。</w:t>
            </w:r>
          </w:p>
          <w:p w14:paraId="59B100E0">
            <w:pPr>
              <w:keepNext w:val="0"/>
              <w:keepLines w:val="0"/>
              <w:pageBreakBefore w:val="0"/>
              <w:kinsoku/>
              <w:overflowPunct/>
              <w:topLinePunct w:val="0"/>
              <w:autoSpaceDE/>
              <w:autoSpaceDN/>
              <w:bidi w:val="0"/>
              <w:adjustRightInd w:val="0"/>
              <w:snapToGrid w:val="0"/>
              <w:spacing w:line="240" w:lineRule="auto"/>
              <w:ind w:firstLine="514" w:firstLineChars="200"/>
              <w:jc w:val="left"/>
              <w:rPr>
                <w:rFonts w:hint="eastAsia" w:ascii="仿宋_GB2312" w:hAnsi="仿宋_GB2312" w:eastAsia="仿宋_GB2312" w:cs="仿宋_GB2312"/>
                <w:sz w:val="24"/>
                <w:szCs w:val="24"/>
                <w:u w:val="none"/>
                <w:lang w:bidi="ar"/>
              </w:rPr>
            </w:pPr>
            <w:r>
              <w:rPr>
                <w:rFonts w:hint="eastAsia" w:ascii="仿宋_GB2312" w:hAnsi="仿宋_GB2312" w:eastAsia="仿宋_GB2312" w:cs="仿宋_GB2312"/>
                <w:sz w:val="24"/>
                <w:szCs w:val="24"/>
                <w:u w:val="none"/>
                <w:lang w:bidi="ar"/>
              </w:rPr>
              <w:t>4.自主知识产权平台1套，内置氟化工风险推理规则≥60条，并发接入≥30000点；支持第三方对接、私有化、模型服务及模块配置。3类异常解除且资源可用后恢复≤10分钟，连续90日可用率≥99.5%；完成安全测试、源码审计及适用等保。</w:t>
            </w:r>
          </w:p>
          <w:p w14:paraId="78AC9781">
            <w:pPr>
              <w:keepNext w:val="0"/>
              <w:keepLines w:val="0"/>
              <w:pageBreakBefore w:val="0"/>
              <w:kinsoku/>
              <w:overflowPunct/>
              <w:topLinePunct w:val="0"/>
              <w:autoSpaceDE/>
              <w:autoSpaceDN/>
              <w:bidi w:val="0"/>
              <w:adjustRightInd w:val="0"/>
              <w:snapToGrid w:val="0"/>
              <w:spacing w:line="240" w:lineRule="auto"/>
              <w:ind w:firstLine="514" w:firstLineChars="200"/>
              <w:jc w:val="left"/>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lang w:bidi="ar"/>
              </w:rPr>
              <w:t>5.≥5个单元覆盖反应、输送、危化品仓储、污染治理4类场景，应用≥180日；≥30项真实闭环，其中≥10项模型现场核验；完成跨单元部署及功能回归，形成标准化解决方案1套。</w:t>
            </w:r>
          </w:p>
        </w:tc>
      </w:tr>
      <w:tr w14:paraId="444AC4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863" w:hRule="atLeast"/>
          <w:jc w:val="center"/>
        </w:trPr>
        <w:tc>
          <w:tcPr>
            <w:tcW w:w="1023"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605EC58E">
            <w:pPr>
              <w:keepNext w:val="0"/>
              <w:keepLines w:val="0"/>
              <w:pageBreakBefore w:val="0"/>
              <w:kinsoku/>
              <w:overflowPunct/>
              <w:topLinePunct w:val="0"/>
              <w:autoSpaceDE/>
              <w:autoSpaceDN/>
              <w:bidi w:val="0"/>
              <w:adjustRightInd w:val="0"/>
              <w:snapToGrid w:val="0"/>
              <w:spacing w:line="240" w:lineRule="auto"/>
              <w:jc w:val="center"/>
              <w:rPr>
                <w:rFonts w:hint="eastAsia" w:ascii="仿宋_GB2312" w:hAnsi="仿宋_GB2312" w:eastAsia="仿宋_GB2312" w:cs="仿宋_GB2312"/>
                <w:sz w:val="24"/>
                <w:szCs w:val="24"/>
                <w:u w:val="none"/>
                <w:lang w:bidi="ar"/>
              </w:rPr>
            </w:pPr>
            <w:r>
              <w:rPr>
                <w:rFonts w:hint="eastAsia" w:ascii="仿宋_GB2312" w:hAnsi="仿宋_GB2312" w:eastAsia="仿宋_GB2312" w:cs="仿宋_GB2312"/>
                <w:sz w:val="24"/>
                <w:szCs w:val="24"/>
                <w:u w:val="none"/>
                <w:lang w:bidi="ar"/>
              </w:rPr>
              <w:t>时限</w:t>
            </w:r>
          </w:p>
          <w:p w14:paraId="46C0242C">
            <w:pPr>
              <w:keepNext w:val="0"/>
              <w:keepLines w:val="0"/>
              <w:pageBreakBefore w:val="0"/>
              <w:kinsoku/>
              <w:overflowPunct/>
              <w:topLinePunct w:val="0"/>
              <w:autoSpaceDE/>
              <w:autoSpaceDN/>
              <w:bidi w:val="0"/>
              <w:adjustRightInd w:val="0"/>
              <w:snapToGrid w:val="0"/>
              <w:spacing w:line="240" w:lineRule="auto"/>
              <w:jc w:val="center"/>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lang w:bidi="ar"/>
              </w:rPr>
              <w:t>要求</w:t>
            </w:r>
          </w:p>
        </w:tc>
        <w:tc>
          <w:tcPr>
            <w:tcW w:w="7377" w:type="dxa"/>
            <w:gridSpan w:val="3"/>
            <w:tcBorders>
              <w:top w:val="single" w:color="auto" w:sz="6" w:space="0"/>
              <w:left w:val="single" w:color="auto" w:sz="6" w:space="0"/>
              <w:bottom w:val="single" w:color="auto" w:sz="6" w:space="0"/>
              <w:right w:val="single" w:color="auto" w:sz="6" w:space="0"/>
            </w:tcBorders>
            <w:shd w:val="clear" w:color="auto" w:fill="FFFFFF"/>
            <w:noWrap w:val="0"/>
            <w:vAlign w:val="center"/>
          </w:tcPr>
          <w:p w14:paraId="33D892C7">
            <w:pPr>
              <w:keepNext w:val="0"/>
              <w:keepLines w:val="0"/>
              <w:pageBreakBefore w:val="0"/>
              <w:kinsoku/>
              <w:overflowPunct/>
              <w:topLinePunct w:val="0"/>
              <w:autoSpaceDE/>
              <w:autoSpaceDN/>
              <w:bidi w:val="0"/>
              <w:adjustRightInd w:val="0"/>
              <w:snapToGrid w:val="0"/>
              <w:spacing w:line="240" w:lineRule="auto"/>
              <w:jc w:val="left"/>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lang w:bidi="ar"/>
              </w:rPr>
              <w:t>202</w:t>
            </w:r>
            <w:r>
              <w:rPr>
                <w:rFonts w:hint="eastAsia" w:ascii="仿宋_GB2312" w:hAnsi="仿宋_GB2312" w:eastAsia="仿宋_GB2312" w:cs="仿宋_GB2312"/>
                <w:sz w:val="24"/>
                <w:szCs w:val="24"/>
                <w:u w:val="none"/>
                <w:lang w:val="en-US" w:eastAsia="zh-CN" w:bidi="ar"/>
              </w:rPr>
              <w:t>9</w:t>
            </w:r>
            <w:r>
              <w:rPr>
                <w:rFonts w:hint="eastAsia" w:ascii="仿宋_GB2312" w:hAnsi="仿宋_GB2312" w:eastAsia="仿宋_GB2312" w:cs="仿宋_GB2312"/>
                <w:sz w:val="24"/>
                <w:szCs w:val="24"/>
                <w:u w:val="none"/>
                <w:lang w:bidi="ar"/>
              </w:rPr>
              <w:t>年12月前完成。</w:t>
            </w:r>
          </w:p>
        </w:tc>
      </w:tr>
      <w:tr w14:paraId="06EF94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12" w:hRule="atLeast"/>
          <w:jc w:val="center"/>
        </w:trPr>
        <w:tc>
          <w:tcPr>
            <w:tcW w:w="8400" w:type="dxa"/>
            <w:gridSpan w:val="4"/>
            <w:tcBorders>
              <w:top w:val="single" w:color="auto" w:sz="6" w:space="0"/>
              <w:left w:val="single" w:color="auto" w:sz="6" w:space="0"/>
              <w:bottom w:val="single" w:color="auto" w:sz="6" w:space="0"/>
              <w:right w:val="single" w:color="auto" w:sz="6" w:space="0"/>
            </w:tcBorders>
            <w:shd w:val="clear" w:color="auto" w:fill="FFFFFF"/>
            <w:noWrap w:val="0"/>
            <w:vAlign w:val="center"/>
          </w:tcPr>
          <w:p w14:paraId="0C30898D">
            <w:pPr>
              <w:keepNext w:val="0"/>
              <w:keepLines w:val="0"/>
              <w:pageBreakBefore w:val="0"/>
              <w:kinsoku/>
              <w:overflowPunct/>
              <w:topLinePunct w:val="0"/>
              <w:autoSpaceDE/>
              <w:autoSpaceDN/>
              <w:bidi w:val="0"/>
              <w:adjustRightInd w:val="0"/>
              <w:snapToGrid w:val="0"/>
              <w:spacing w:line="240" w:lineRule="auto"/>
              <w:jc w:val="center"/>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lang w:bidi="ar"/>
              </w:rPr>
              <w:t>以下信息供揭榜方参考</w:t>
            </w:r>
          </w:p>
          <w:p w14:paraId="1BC7C77C">
            <w:pPr>
              <w:keepNext w:val="0"/>
              <w:keepLines w:val="0"/>
              <w:pageBreakBefore w:val="0"/>
              <w:kinsoku/>
              <w:overflowPunct/>
              <w:topLinePunct w:val="0"/>
              <w:autoSpaceDE/>
              <w:autoSpaceDN/>
              <w:bidi w:val="0"/>
              <w:adjustRightInd w:val="0"/>
              <w:snapToGrid w:val="0"/>
              <w:spacing w:line="240" w:lineRule="auto"/>
              <w:jc w:val="center"/>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lang w:bidi="ar"/>
              </w:rPr>
              <w:t>（揭榜方与福建省技术需求企业联合申报项目，技术需求企业也可以是榜单之外的同行企业）</w:t>
            </w:r>
          </w:p>
        </w:tc>
      </w:tr>
      <w:tr w14:paraId="29EBE6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12" w:hRule="atLeast"/>
          <w:jc w:val="center"/>
        </w:trPr>
        <w:tc>
          <w:tcPr>
            <w:tcW w:w="1611" w:type="dxa"/>
            <w:gridSpan w:val="2"/>
            <w:vMerge w:val="restart"/>
            <w:tcBorders>
              <w:top w:val="single" w:color="auto" w:sz="6" w:space="0"/>
              <w:left w:val="single" w:color="auto" w:sz="6" w:space="0"/>
              <w:bottom w:val="single" w:color="auto" w:sz="6" w:space="0"/>
              <w:right w:val="single" w:color="auto" w:sz="6" w:space="0"/>
            </w:tcBorders>
            <w:shd w:val="clear" w:color="auto" w:fill="FFFFFF"/>
            <w:noWrap w:val="0"/>
            <w:vAlign w:val="center"/>
          </w:tcPr>
          <w:p w14:paraId="56EFF158">
            <w:pPr>
              <w:keepNext w:val="0"/>
              <w:keepLines w:val="0"/>
              <w:pageBreakBefore w:val="0"/>
              <w:kinsoku/>
              <w:overflowPunct/>
              <w:topLinePunct w:val="0"/>
              <w:autoSpaceDE/>
              <w:autoSpaceDN/>
              <w:bidi w:val="0"/>
              <w:adjustRightInd w:val="0"/>
              <w:snapToGrid w:val="0"/>
              <w:spacing w:line="240" w:lineRule="auto"/>
              <w:jc w:val="center"/>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lang w:bidi="ar"/>
              </w:rPr>
              <w:t>技术需求牵头企业（非排他性，可以多个）</w:t>
            </w:r>
          </w:p>
        </w:tc>
        <w:tc>
          <w:tcPr>
            <w:tcW w:w="3511" w:type="dxa"/>
            <w:vMerge w:val="restart"/>
            <w:tcBorders>
              <w:top w:val="single" w:color="auto" w:sz="6" w:space="0"/>
              <w:left w:val="single" w:color="auto" w:sz="6" w:space="0"/>
              <w:bottom w:val="single" w:color="auto" w:sz="6" w:space="0"/>
              <w:right w:val="single" w:color="auto" w:sz="6" w:space="0"/>
            </w:tcBorders>
            <w:shd w:val="clear" w:color="auto" w:fill="FFFFFF"/>
            <w:noWrap w:val="0"/>
            <w:vAlign w:val="center"/>
          </w:tcPr>
          <w:p w14:paraId="6827EEBB">
            <w:pPr>
              <w:keepNext w:val="0"/>
              <w:keepLines w:val="0"/>
              <w:pageBreakBefore w:val="0"/>
              <w:kinsoku/>
              <w:overflowPunct/>
              <w:topLinePunct w:val="0"/>
              <w:autoSpaceDE/>
              <w:autoSpaceDN/>
              <w:bidi w:val="0"/>
              <w:adjustRightInd w:val="0"/>
              <w:snapToGrid w:val="0"/>
              <w:spacing w:line="240" w:lineRule="auto"/>
              <w:jc w:val="center"/>
              <w:rPr>
                <w:rFonts w:hint="eastAsia" w:ascii="仿宋_GB2312" w:hAnsi="仿宋_GB2312" w:eastAsia="仿宋_GB2312" w:cs="仿宋_GB2312"/>
                <w:sz w:val="24"/>
                <w:szCs w:val="24"/>
                <w:u w:val="none"/>
                <w:lang w:bidi="ar"/>
              </w:rPr>
            </w:pPr>
            <w:r>
              <w:rPr>
                <w:rFonts w:hint="eastAsia" w:ascii="仿宋_GB2312" w:hAnsi="仿宋_GB2312" w:eastAsia="仿宋_GB2312" w:cs="仿宋_GB2312"/>
                <w:sz w:val="24"/>
                <w:szCs w:val="24"/>
                <w:u w:val="none"/>
                <w:lang w:bidi="ar"/>
              </w:rPr>
              <w:t>三明市海斯福化工有限</w:t>
            </w:r>
          </w:p>
          <w:p w14:paraId="2A0F7EA3">
            <w:pPr>
              <w:keepNext w:val="0"/>
              <w:keepLines w:val="0"/>
              <w:pageBreakBefore w:val="0"/>
              <w:kinsoku/>
              <w:overflowPunct/>
              <w:topLinePunct w:val="0"/>
              <w:autoSpaceDE/>
              <w:autoSpaceDN/>
              <w:bidi w:val="0"/>
              <w:adjustRightInd w:val="0"/>
              <w:snapToGrid w:val="0"/>
              <w:spacing w:line="240" w:lineRule="auto"/>
              <w:jc w:val="center"/>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lang w:bidi="ar"/>
              </w:rPr>
              <w:t>责任公司</w:t>
            </w:r>
          </w:p>
        </w:tc>
        <w:tc>
          <w:tcPr>
            <w:tcW w:w="3278"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393A025F">
            <w:pPr>
              <w:keepNext w:val="0"/>
              <w:keepLines w:val="0"/>
              <w:pageBreakBefore w:val="0"/>
              <w:kinsoku/>
              <w:overflowPunct/>
              <w:topLinePunct w:val="0"/>
              <w:autoSpaceDE/>
              <w:autoSpaceDN/>
              <w:bidi w:val="0"/>
              <w:adjustRightInd w:val="0"/>
              <w:snapToGrid w:val="0"/>
              <w:spacing w:line="240" w:lineRule="auto"/>
              <w:jc w:val="center"/>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lang w:bidi="ar"/>
              </w:rPr>
              <w:t>单位性质</w:t>
            </w:r>
          </w:p>
        </w:tc>
      </w:tr>
      <w:tr w14:paraId="729956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12" w:hRule="atLeast"/>
          <w:jc w:val="center"/>
        </w:trPr>
        <w:tc>
          <w:tcPr>
            <w:tcW w:w="1611" w:type="dxa"/>
            <w:gridSpan w:val="2"/>
            <w:vMerge w:val="continue"/>
            <w:tcBorders>
              <w:top w:val="single" w:color="auto" w:sz="6" w:space="0"/>
              <w:left w:val="single" w:color="auto" w:sz="6" w:space="0"/>
              <w:bottom w:val="single" w:color="auto" w:sz="6" w:space="0"/>
              <w:right w:val="single" w:color="auto" w:sz="6" w:space="0"/>
            </w:tcBorders>
            <w:shd w:val="clear" w:color="auto" w:fill="FFFFFF"/>
            <w:noWrap w:val="0"/>
            <w:vAlign w:val="center"/>
          </w:tcPr>
          <w:p w14:paraId="3A43F9FD">
            <w:pPr>
              <w:keepNext w:val="0"/>
              <w:keepLines w:val="0"/>
              <w:pageBreakBefore w:val="0"/>
              <w:kinsoku/>
              <w:overflowPunct/>
              <w:topLinePunct w:val="0"/>
              <w:autoSpaceDE/>
              <w:autoSpaceDN/>
              <w:bidi w:val="0"/>
              <w:spacing w:line="240" w:lineRule="auto"/>
              <w:rPr>
                <w:rFonts w:hint="eastAsia" w:ascii="仿宋_GB2312" w:hAnsi="仿宋_GB2312" w:eastAsia="仿宋_GB2312" w:cs="仿宋_GB2312"/>
                <w:sz w:val="24"/>
                <w:szCs w:val="24"/>
                <w:u w:val="none"/>
              </w:rPr>
            </w:pPr>
          </w:p>
        </w:tc>
        <w:tc>
          <w:tcPr>
            <w:tcW w:w="3511" w:type="dxa"/>
            <w:vMerge w:val="continue"/>
            <w:tcBorders>
              <w:top w:val="single" w:color="auto" w:sz="6" w:space="0"/>
              <w:left w:val="single" w:color="auto" w:sz="6" w:space="0"/>
              <w:bottom w:val="single" w:color="auto" w:sz="6" w:space="0"/>
              <w:right w:val="single" w:color="auto" w:sz="6" w:space="0"/>
            </w:tcBorders>
            <w:shd w:val="clear" w:color="auto" w:fill="FFFFFF"/>
            <w:noWrap w:val="0"/>
            <w:vAlign w:val="center"/>
          </w:tcPr>
          <w:p w14:paraId="4EFB5315">
            <w:pPr>
              <w:keepNext w:val="0"/>
              <w:keepLines w:val="0"/>
              <w:pageBreakBefore w:val="0"/>
              <w:kinsoku/>
              <w:overflowPunct/>
              <w:topLinePunct w:val="0"/>
              <w:autoSpaceDE/>
              <w:autoSpaceDN/>
              <w:bidi w:val="0"/>
              <w:spacing w:line="240" w:lineRule="auto"/>
              <w:rPr>
                <w:rFonts w:hint="eastAsia" w:ascii="仿宋_GB2312" w:hAnsi="仿宋_GB2312" w:eastAsia="仿宋_GB2312" w:cs="仿宋_GB2312"/>
                <w:sz w:val="24"/>
                <w:szCs w:val="24"/>
                <w:u w:val="none"/>
              </w:rPr>
            </w:pPr>
          </w:p>
        </w:tc>
        <w:tc>
          <w:tcPr>
            <w:tcW w:w="3278"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57CD9707">
            <w:pPr>
              <w:keepNext w:val="0"/>
              <w:keepLines w:val="0"/>
              <w:pageBreakBefore w:val="0"/>
              <w:kinsoku/>
              <w:overflowPunct/>
              <w:topLinePunct w:val="0"/>
              <w:autoSpaceDE/>
              <w:autoSpaceDN/>
              <w:bidi w:val="0"/>
              <w:adjustRightInd w:val="0"/>
              <w:snapToGrid w:val="0"/>
              <w:spacing w:line="240" w:lineRule="auto"/>
              <w:jc w:val="center"/>
              <w:rPr>
                <w:rFonts w:hint="eastAsia" w:ascii="仿宋_GB2312" w:hAnsi="仿宋_GB2312" w:eastAsia="仿宋_GB2312" w:cs="仿宋_GB2312"/>
                <w:sz w:val="24"/>
                <w:szCs w:val="24"/>
                <w:u w:val="none"/>
                <w:lang w:bidi="ar"/>
              </w:rPr>
            </w:pPr>
            <w:r>
              <w:rPr>
                <w:rFonts w:hint="eastAsia" w:ascii="仿宋_GB2312" w:hAnsi="仿宋_GB2312" w:eastAsia="仿宋_GB2312" w:cs="仿宋_GB2312"/>
                <w:sz w:val="24"/>
                <w:szCs w:val="24"/>
                <w:u w:val="none"/>
                <w:lang w:bidi="ar"/>
              </w:rPr>
              <w:t>□龙头企业 □骨干企业</w:t>
            </w:r>
          </w:p>
          <w:p w14:paraId="39553B39">
            <w:pPr>
              <w:keepNext w:val="0"/>
              <w:keepLines w:val="0"/>
              <w:pageBreakBefore w:val="0"/>
              <w:kinsoku/>
              <w:overflowPunct/>
              <w:topLinePunct w:val="0"/>
              <w:autoSpaceDE/>
              <w:autoSpaceDN/>
              <w:bidi w:val="0"/>
              <w:adjustRightInd w:val="0"/>
              <w:snapToGrid w:val="0"/>
              <w:spacing w:line="240" w:lineRule="auto"/>
              <w:jc w:val="center"/>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lang w:bidi="ar"/>
              </w:rPr>
              <w:t>（</w:t>
            </w:r>
            <w:r>
              <w:rPr>
                <w:rFonts w:hint="eastAsia" w:ascii="仿宋_GB2312" w:hAnsi="仿宋_GB2312" w:eastAsia="仿宋_GB2312" w:cs="仿宋_GB2312"/>
                <w:sz w:val="24"/>
                <w:szCs w:val="24"/>
                <w:u w:val="none"/>
                <w:lang w:eastAsia="zh-CN" w:bidi="ar"/>
              </w:rPr>
              <w:t>☑</w:t>
            </w:r>
            <w:r>
              <w:rPr>
                <w:rFonts w:hint="eastAsia" w:ascii="仿宋_GB2312" w:hAnsi="仿宋_GB2312" w:eastAsia="仿宋_GB2312" w:cs="仿宋_GB2312"/>
                <w:sz w:val="24"/>
                <w:szCs w:val="24"/>
                <w:u w:val="none"/>
                <w:lang w:bidi="ar"/>
              </w:rPr>
              <w:t>高新技术企业、□科技型企业）</w:t>
            </w:r>
          </w:p>
        </w:tc>
      </w:tr>
      <w:tr w14:paraId="7FE463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611" w:type="dxa"/>
            <w:gridSpan w:val="2"/>
            <w:tcBorders>
              <w:top w:val="single" w:color="auto" w:sz="6" w:space="0"/>
              <w:left w:val="single" w:color="auto" w:sz="6" w:space="0"/>
              <w:bottom w:val="single" w:color="auto" w:sz="6" w:space="0"/>
              <w:right w:val="single" w:color="auto" w:sz="6" w:space="0"/>
            </w:tcBorders>
            <w:shd w:val="clear" w:color="auto" w:fill="FFFFFF"/>
            <w:noWrap w:val="0"/>
            <w:vAlign w:val="center"/>
          </w:tcPr>
          <w:p w14:paraId="0001AF91">
            <w:pPr>
              <w:keepNext w:val="0"/>
              <w:keepLines w:val="0"/>
              <w:pageBreakBefore w:val="0"/>
              <w:kinsoku/>
              <w:overflowPunct/>
              <w:topLinePunct w:val="0"/>
              <w:autoSpaceDE/>
              <w:autoSpaceDN/>
              <w:bidi w:val="0"/>
              <w:adjustRightInd w:val="0"/>
              <w:snapToGrid w:val="0"/>
              <w:spacing w:line="240" w:lineRule="auto"/>
              <w:jc w:val="center"/>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lang w:bidi="ar"/>
              </w:rPr>
              <w:t>技术需求牵头企业联系方式</w:t>
            </w:r>
          </w:p>
        </w:tc>
        <w:tc>
          <w:tcPr>
            <w:tcW w:w="6789" w:type="dxa"/>
            <w:gridSpan w:val="2"/>
            <w:tcBorders>
              <w:top w:val="single" w:color="auto" w:sz="6" w:space="0"/>
              <w:left w:val="single" w:color="auto" w:sz="6" w:space="0"/>
              <w:bottom w:val="single" w:color="auto" w:sz="6" w:space="0"/>
              <w:right w:val="single" w:color="auto" w:sz="6" w:space="0"/>
            </w:tcBorders>
            <w:shd w:val="clear" w:color="auto" w:fill="FFFFFF"/>
            <w:noWrap w:val="0"/>
            <w:vAlign w:val="center"/>
          </w:tcPr>
          <w:p w14:paraId="0D811B97">
            <w:pPr>
              <w:keepNext w:val="0"/>
              <w:keepLines w:val="0"/>
              <w:pageBreakBefore w:val="0"/>
              <w:kinsoku/>
              <w:overflowPunct/>
              <w:topLinePunct w:val="0"/>
              <w:autoSpaceDE/>
              <w:autoSpaceDN/>
              <w:bidi w:val="0"/>
              <w:adjustRightInd w:val="0"/>
              <w:snapToGrid w:val="0"/>
              <w:spacing w:line="240" w:lineRule="auto"/>
              <w:jc w:val="center"/>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lang w:bidi="ar"/>
              </w:rPr>
              <w:t>王孟英；18259882092；0598-2817283；mywang@hexafluo.com</w:t>
            </w:r>
          </w:p>
        </w:tc>
      </w:tr>
      <w:tr w14:paraId="66D5B2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023" w:type="dxa"/>
            <w:vMerge w:val="restart"/>
            <w:tcBorders>
              <w:top w:val="single" w:color="auto" w:sz="6" w:space="0"/>
              <w:left w:val="single" w:color="auto" w:sz="6" w:space="0"/>
              <w:bottom w:val="single" w:color="auto" w:sz="6" w:space="0"/>
              <w:right w:val="single" w:color="auto" w:sz="6" w:space="0"/>
            </w:tcBorders>
            <w:shd w:val="clear" w:color="auto" w:fill="FFFFFF"/>
            <w:noWrap w:val="0"/>
            <w:vAlign w:val="center"/>
          </w:tcPr>
          <w:p w14:paraId="5DE09CFE">
            <w:pPr>
              <w:keepNext w:val="0"/>
              <w:keepLines w:val="0"/>
              <w:pageBreakBefore w:val="0"/>
              <w:kinsoku/>
              <w:overflowPunct/>
              <w:topLinePunct w:val="0"/>
              <w:autoSpaceDE/>
              <w:autoSpaceDN/>
              <w:bidi w:val="0"/>
              <w:adjustRightInd w:val="0"/>
              <w:snapToGrid w:val="0"/>
              <w:spacing w:line="240" w:lineRule="auto"/>
              <w:jc w:val="center"/>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lang w:bidi="ar"/>
              </w:rPr>
              <w:t>有共同技术需求的同行企业（非排他性）</w:t>
            </w:r>
          </w:p>
        </w:tc>
        <w:tc>
          <w:tcPr>
            <w:tcW w:w="588"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42BFE2CF">
            <w:pPr>
              <w:keepNext w:val="0"/>
              <w:keepLines w:val="0"/>
              <w:pageBreakBefore w:val="0"/>
              <w:kinsoku/>
              <w:overflowPunct/>
              <w:topLinePunct w:val="0"/>
              <w:autoSpaceDE/>
              <w:autoSpaceDN/>
              <w:bidi w:val="0"/>
              <w:adjustRightInd w:val="0"/>
              <w:snapToGrid w:val="0"/>
              <w:spacing w:line="240" w:lineRule="auto"/>
              <w:jc w:val="center"/>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lang w:bidi="ar"/>
              </w:rPr>
              <w:t>序号</w:t>
            </w:r>
          </w:p>
        </w:tc>
        <w:tc>
          <w:tcPr>
            <w:tcW w:w="3511"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11D8FE8B">
            <w:pPr>
              <w:keepNext w:val="0"/>
              <w:keepLines w:val="0"/>
              <w:pageBreakBefore w:val="0"/>
              <w:kinsoku/>
              <w:overflowPunct/>
              <w:topLinePunct w:val="0"/>
              <w:autoSpaceDE/>
              <w:autoSpaceDN/>
              <w:bidi w:val="0"/>
              <w:adjustRightInd w:val="0"/>
              <w:snapToGrid w:val="0"/>
              <w:spacing w:line="240" w:lineRule="auto"/>
              <w:jc w:val="center"/>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lang w:bidi="ar"/>
              </w:rPr>
              <w:t>单位名称</w:t>
            </w:r>
          </w:p>
        </w:tc>
        <w:tc>
          <w:tcPr>
            <w:tcW w:w="3278"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2C814906">
            <w:pPr>
              <w:keepNext w:val="0"/>
              <w:keepLines w:val="0"/>
              <w:pageBreakBefore w:val="0"/>
              <w:kinsoku/>
              <w:overflowPunct/>
              <w:topLinePunct w:val="0"/>
              <w:autoSpaceDE/>
              <w:autoSpaceDN/>
              <w:bidi w:val="0"/>
              <w:adjustRightInd w:val="0"/>
              <w:snapToGrid w:val="0"/>
              <w:spacing w:line="240" w:lineRule="auto"/>
              <w:jc w:val="center"/>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lang w:bidi="ar"/>
              </w:rPr>
              <w:t>单位性质</w:t>
            </w:r>
          </w:p>
        </w:tc>
      </w:tr>
      <w:tr w14:paraId="2AC63D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023" w:type="dxa"/>
            <w:vMerge w:val="continue"/>
            <w:tcBorders>
              <w:top w:val="single" w:color="auto" w:sz="6" w:space="0"/>
              <w:left w:val="single" w:color="auto" w:sz="6" w:space="0"/>
              <w:bottom w:val="single" w:color="auto" w:sz="6" w:space="0"/>
              <w:right w:val="single" w:color="auto" w:sz="6" w:space="0"/>
            </w:tcBorders>
            <w:shd w:val="clear" w:color="auto" w:fill="FFFFFF"/>
            <w:noWrap w:val="0"/>
            <w:vAlign w:val="center"/>
          </w:tcPr>
          <w:p w14:paraId="6274B95C">
            <w:pPr>
              <w:keepNext w:val="0"/>
              <w:keepLines w:val="0"/>
              <w:pageBreakBefore w:val="0"/>
              <w:kinsoku/>
              <w:overflowPunct/>
              <w:topLinePunct w:val="0"/>
              <w:autoSpaceDE/>
              <w:autoSpaceDN/>
              <w:bidi w:val="0"/>
              <w:spacing w:line="240" w:lineRule="auto"/>
              <w:rPr>
                <w:rFonts w:hint="eastAsia" w:ascii="仿宋_GB2312" w:hAnsi="仿宋_GB2312" w:eastAsia="仿宋_GB2312" w:cs="仿宋_GB2312"/>
                <w:sz w:val="24"/>
                <w:szCs w:val="24"/>
                <w:u w:val="none"/>
              </w:rPr>
            </w:pPr>
          </w:p>
        </w:tc>
        <w:tc>
          <w:tcPr>
            <w:tcW w:w="588"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10E4C7A3">
            <w:pPr>
              <w:keepNext w:val="0"/>
              <w:keepLines w:val="0"/>
              <w:pageBreakBefore w:val="0"/>
              <w:kinsoku/>
              <w:overflowPunct/>
              <w:topLinePunct w:val="0"/>
              <w:autoSpaceDE/>
              <w:autoSpaceDN/>
              <w:bidi w:val="0"/>
              <w:adjustRightInd w:val="0"/>
              <w:snapToGrid w:val="0"/>
              <w:spacing w:line="240" w:lineRule="auto"/>
              <w:jc w:val="center"/>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lang w:bidi="ar"/>
              </w:rPr>
              <w:t>1</w:t>
            </w:r>
          </w:p>
        </w:tc>
        <w:tc>
          <w:tcPr>
            <w:tcW w:w="3511"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54E090D1">
            <w:pPr>
              <w:keepNext w:val="0"/>
              <w:keepLines w:val="0"/>
              <w:widowControl w:val="0"/>
              <w:kinsoku/>
              <w:overflowPunct/>
              <w:autoSpaceDE/>
              <w:bidi w:val="0"/>
              <w:snapToGrid w:val="0"/>
              <w:spacing w:before="0" w:after="0" w:line="240" w:lineRule="auto"/>
              <w:jc w:val="center"/>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暂未列入</w:t>
            </w:r>
          </w:p>
        </w:tc>
        <w:tc>
          <w:tcPr>
            <w:tcW w:w="3278"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39F20D5C">
            <w:pPr>
              <w:keepNext w:val="0"/>
              <w:keepLines w:val="0"/>
              <w:pageBreakBefore w:val="0"/>
              <w:kinsoku/>
              <w:overflowPunct/>
              <w:topLinePunct w:val="0"/>
              <w:autoSpaceDE/>
              <w:autoSpaceDN/>
              <w:bidi w:val="0"/>
              <w:adjustRightInd w:val="0"/>
              <w:snapToGrid w:val="0"/>
              <w:spacing w:line="240" w:lineRule="auto"/>
              <w:jc w:val="center"/>
              <w:rPr>
                <w:rFonts w:hint="eastAsia" w:ascii="仿宋_GB2312" w:hAnsi="仿宋_GB2312" w:eastAsia="仿宋_GB2312" w:cs="仿宋_GB2312"/>
                <w:sz w:val="24"/>
                <w:szCs w:val="24"/>
                <w:u w:val="none"/>
                <w:lang w:bidi="ar"/>
              </w:rPr>
            </w:pPr>
            <w:r>
              <w:rPr>
                <w:rFonts w:hint="eastAsia" w:ascii="仿宋_GB2312" w:hAnsi="仿宋_GB2312" w:eastAsia="仿宋_GB2312" w:cs="仿宋_GB2312"/>
                <w:sz w:val="24"/>
                <w:szCs w:val="24"/>
                <w:u w:val="none"/>
                <w:lang w:bidi="ar"/>
              </w:rPr>
              <w:t xml:space="preserve">□龙头企业 □骨干企业 </w:t>
            </w:r>
          </w:p>
          <w:p w14:paraId="3894D739">
            <w:pPr>
              <w:keepNext w:val="0"/>
              <w:keepLines w:val="0"/>
              <w:pageBreakBefore w:val="0"/>
              <w:kinsoku/>
              <w:overflowPunct/>
              <w:topLinePunct w:val="0"/>
              <w:autoSpaceDE/>
              <w:autoSpaceDN/>
              <w:bidi w:val="0"/>
              <w:adjustRightInd w:val="0"/>
              <w:snapToGrid w:val="0"/>
              <w:spacing w:line="240" w:lineRule="auto"/>
              <w:jc w:val="center"/>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lang w:bidi="ar"/>
              </w:rPr>
              <w:t>（□高新技术企业、□科技型企业）</w:t>
            </w:r>
          </w:p>
        </w:tc>
      </w:tr>
      <w:tr w14:paraId="259D44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023" w:type="dxa"/>
            <w:vMerge w:val="continue"/>
            <w:tcBorders>
              <w:top w:val="single" w:color="auto" w:sz="6" w:space="0"/>
              <w:left w:val="single" w:color="auto" w:sz="6" w:space="0"/>
              <w:bottom w:val="single" w:color="auto" w:sz="6" w:space="0"/>
              <w:right w:val="single" w:color="auto" w:sz="6" w:space="0"/>
            </w:tcBorders>
            <w:shd w:val="clear" w:color="auto" w:fill="FFFFFF"/>
            <w:noWrap w:val="0"/>
            <w:vAlign w:val="center"/>
          </w:tcPr>
          <w:p w14:paraId="233E642C">
            <w:pPr>
              <w:keepNext w:val="0"/>
              <w:keepLines w:val="0"/>
              <w:pageBreakBefore w:val="0"/>
              <w:kinsoku/>
              <w:overflowPunct/>
              <w:topLinePunct w:val="0"/>
              <w:autoSpaceDE/>
              <w:autoSpaceDN/>
              <w:bidi w:val="0"/>
              <w:spacing w:line="240" w:lineRule="auto"/>
              <w:rPr>
                <w:rFonts w:hint="eastAsia" w:ascii="仿宋_GB2312" w:hAnsi="仿宋_GB2312" w:eastAsia="仿宋_GB2312" w:cs="仿宋_GB2312"/>
                <w:sz w:val="24"/>
                <w:szCs w:val="24"/>
                <w:u w:val="none"/>
              </w:rPr>
            </w:pPr>
          </w:p>
        </w:tc>
        <w:tc>
          <w:tcPr>
            <w:tcW w:w="588"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49F05295">
            <w:pPr>
              <w:keepNext w:val="0"/>
              <w:keepLines w:val="0"/>
              <w:pageBreakBefore w:val="0"/>
              <w:kinsoku/>
              <w:overflowPunct/>
              <w:topLinePunct w:val="0"/>
              <w:autoSpaceDE/>
              <w:autoSpaceDN/>
              <w:bidi w:val="0"/>
              <w:adjustRightInd w:val="0"/>
              <w:snapToGrid w:val="0"/>
              <w:spacing w:line="240" w:lineRule="auto"/>
              <w:jc w:val="center"/>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lang w:bidi="ar"/>
              </w:rPr>
              <w:t>2</w:t>
            </w:r>
          </w:p>
        </w:tc>
        <w:tc>
          <w:tcPr>
            <w:tcW w:w="3511"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377721B9">
            <w:pPr>
              <w:keepNext w:val="0"/>
              <w:keepLines w:val="0"/>
              <w:widowControl w:val="0"/>
              <w:kinsoku/>
              <w:overflowPunct/>
              <w:autoSpaceDE/>
              <w:bidi w:val="0"/>
              <w:snapToGrid w:val="0"/>
              <w:spacing w:before="0" w:after="0" w:line="240" w:lineRule="auto"/>
              <w:jc w:val="center"/>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暂未列入</w:t>
            </w:r>
          </w:p>
        </w:tc>
        <w:tc>
          <w:tcPr>
            <w:tcW w:w="3278"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76BDEA4B">
            <w:pPr>
              <w:keepNext w:val="0"/>
              <w:keepLines w:val="0"/>
              <w:pageBreakBefore w:val="0"/>
              <w:kinsoku/>
              <w:overflowPunct/>
              <w:topLinePunct w:val="0"/>
              <w:autoSpaceDE/>
              <w:autoSpaceDN/>
              <w:bidi w:val="0"/>
              <w:adjustRightInd w:val="0"/>
              <w:snapToGrid w:val="0"/>
              <w:spacing w:line="240" w:lineRule="auto"/>
              <w:jc w:val="center"/>
              <w:rPr>
                <w:rFonts w:hint="eastAsia" w:ascii="仿宋_GB2312" w:hAnsi="仿宋_GB2312" w:eastAsia="仿宋_GB2312" w:cs="仿宋_GB2312"/>
                <w:sz w:val="24"/>
                <w:szCs w:val="24"/>
                <w:u w:val="none"/>
                <w:lang w:bidi="ar"/>
              </w:rPr>
            </w:pPr>
            <w:r>
              <w:rPr>
                <w:rFonts w:hint="eastAsia" w:ascii="仿宋_GB2312" w:hAnsi="仿宋_GB2312" w:eastAsia="仿宋_GB2312" w:cs="仿宋_GB2312"/>
                <w:sz w:val="24"/>
                <w:szCs w:val="24"/>
                <w:u w:val="none"/>
                <w:lang w:bidi="ar"/>
              </w:rPr>
              <w:t xml:space="preserve">□龙头企业 □骨干企业 </w:t>
            </w:r>
          </w:p>
          <w:p w14:paraId="3DE5818B">
            <w:pPr>
              <w:keepNext w:val="0"/>
              <w:keepLines w:val="0"/>
              <w:pageBreakBefore w:val="0"/>
              <w:kinsoku/>
              <w:overflowPunct/>
              <w:topLinePunct w:val="0"/>
              <w:autoSpaceDE/>
              <w:autoSpaceDN/>
              <w:bidi w:val="0"/>
              <w:adjustRightInd w:val="0"/>
              <w:snapToGrid w:val="0"/>
              <w:spacing w:line="240" w:lineRule="auto"/>
              <w:jc w:val="center"/>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lang w:bidi="ar"/>
              </w:rPr>
              <w:t>（□高新技术企业、□科技型企业）</w:t>
            </w:r>
          </w:p>
        </w:tc>
      </w:tr>
      <w:tr w14:paraId="720730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000" w:hRule="atLeast"/>
          <w:jc w:val="center"/>
        </w:trPr>
        <w:tc>
          <w:tcPr>
            <w:tcW w:w="1023"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60B9FE44">
            <w:pPr>
              <w:keepNext w:val="0"/>
              <w:keepLines w:val="0"/>
              <w:pageBreakBefore w:val="0"/>
              <w:kinsoku/>
              <w:overflowPunct/>
              <w:topLinePunct w:val="0"/>
              <w:autoSpaceDE/>
              <w:autoSpaceDN/>
              <w:bidi w:val="0"/>
              <w:adjustRightInd w:val="0"/>
              <w:snapToGrid w:val="0"/>
              <w:spacing w:line="240" w:lineRule="auto"/>
              <w:jc w:val="center"/>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lang w:bidi="ar"/>
              </w:rPr>
              <w:t>研发资金投入预测</w:t>
            </w:r>
          </w:p>
        </w:tc>
        <w:tc>
          <w:tcPr>
            <w:tcW w:w="7377" w:type="dxa"/>
            <w:gridSpan w:val="3"/>
            <w:tcBorders>
              <w:top w:val="single" w:color="auto" w:sz="6" w:space="0"/>
              <w:left w:val="single" w:color="auto" w:sz="6" w:space="0"/>
              <w:bottom w:val="single" w:color="auto" w:sz="6" w:space="0"/>
              <w:right w:val="single" w:color="auto" w:sz="6" w:space="0"/>
            </w:tcBorders>
            <w:shd w:val="clear" w:color="auto" w:fill="FFFFFF"/>
            <w:noWrap w:val="0"/>
            <w:vAlign w:val="center"/>
          </w:tcPr>
          <w:p w14:paraId="7B02BDBC">
            <w:pPr>
              <w:keepNext w:val="0"/>
              <w:keepLines w:val="0"/>
              <w:pageBreakBefore w:val="0"/>
              <w:kinsoku/>
              <w:overflowPunct/>
              <w:topLinePunct w:val="0"/>
              <w:autoSpaceDE/>
              <w:autoSpaceDN/>
              <w:bidi w:val="0"/>
              <w:adjustRightInd w:val="0"/>
              <w:snapToGrid w:val="0"/>
              <w:spacing w:line="240" w:lineRule="auto"/>
              <w:jc w:val="left"/>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lang w:bidi="ar"/>
              </w:rPr>
              <w:t>（以揭榜方申报项目测算数据为准）</w:t>
            </w:r>
          </w:p>
          <w:p w14:paraId="4B8CA0C7">
            <w:pPr>
              <w:keepNext w:val="0"/>
              <w:keepLines w:val="0"/>
              <w:pageBreakBefore w:val="0"/>
              <w:kinsoku/>
              <w:overflowPunct/>
              <w:topLinePunct w:val="0"/>
              <w:autoSpaceDE/>
              <w:autoSpaceDN/>
              <w:bidi w:val="0"/>
              <w:adjustRightInd w:val="0"/>
              <w:snapToGrid w:val="0"/>
              <w:spacing w:line="240" w:lineRule="auto"/>
              <w:ind w:firstLine="1028" w:firstLineChars="400"/>
              <w:jc w:val="left"/>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lang w:bidi="ar"/>
              </w:rPr>
              <w:t>研发总预算初步预测：</w:t>
            </w:r>
            <w:r>
              <w:rPr>
                <w:rFonts w:hint="eastAsia" w:ascii="仿宋_GB2312" w:hAnsi="仿宋_GB2312" w:eastAsia="仿宋_GB2312" w:cs="仿宋_GB2312"/>
                <w:sz w:val="24"/>
                <w:szCs w:val="24"/>
                <w:u w:val="none"/>
                <w:lang w:val="en-US" w:eastAsia="zh-CN" w:bidi="ar"/>
              </w:rPr>
              <w:t>1200</w:t>
            </w:r>
            <w:r>
              <w:rPr>
                <w:rFonts w:hint="eastAsia" w:ascii="仿宋_GB2312" w:hAnsi="仿宋_GB2312" w:eastAsia="仿宋_GB2312" w:cs="仿宋_GB2312"/>
                <w:sz w:val="24"/>
                <w:szCs w:val="24"/>
                <w:u w:val="none"/>
                <w:lang w:bidi="ar"/>
              </w:rPr>
              <w:t>万元</w:t>
            </w:r>
          </w:p>
        </w:tc>
      </w:tr>
      <w:tr w14:paraId="6F49ED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189" w:hRule="atLeast"/>
          <w:jc w:val="center"/>
        </w:trPr>
        <w:tc>
          <w:tcPr>
            <w:tcW w:w="1023"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0C2FF841">
            <w:pPr>
              <w:keepNext w:val="0"/>
              <w:keepLines w:val="0"/>
              <w:pageBreakBefore w:val="0"/>
              <w:kinsoku/>
              <w:overflowPunct/>
              <w:topLinePunct w:val="0"/>
              <w:autoSpaceDE/>
              <w:autoSpaceDN/>
              <w:bidi w:val="0"/>
              <w:adjustRightInd w:val="0"/>
              <w:snapToGrid w:val="0"/>
              <w:spacing w:line="240" w:lineRule="auto"/>
              <w:jc w:val="center"/>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lang w:bidi="ar"/>
              </w:rPr>
              <w:t>申请财政资金</w:t>
            </w:r>
          </w:p>
        </w:tc>
        <w:tc>
          <w:tcPr>
            <w:tcW w:w="7377" w:type="dxa"/>
            <w:gridSpan w:val="3"/>
            <w:tcBorders>
              <w:top w:val="single" w:color="auto" w:sz="6" w:space="0"/>
              <w:left w:val="single" w:color="auto" w:sz="6" w:space="0"/>
              <w:bottom w:val="single" w:color="auto" w:sz="6" w:space="0"/>
              <w:right w:val="single" w:color="auto" w:sz="6" w:space="0"/>
            </w:tcBorders>
            <w:shd w:val="clear" w:color="auto" w:fill="FFFFFF"/>
            <w:noWrap w:val="0"/>
            <w:vAlign w:val="center"/>
          </w:tcPr>
          <w:p w14:paraId="217504C6">
            <w:pPr>
              <w:keepNext w:val="0"/>
              <w:keepLines w:val="0"/>
              <w:pageBreakBefore w:val="0"/>
              <w:kinsoku/>
              <w:overflowPunct/>
              <w:topLinePunct w:val="0"/>
              <w:autoSpaceDE/>
              <w:autoSpaceDN/>
              <w:bidi w:val="0"/>
              <w:adjustRightInd w:val="0"/>
              <w:snapToGrid w:val="0"/>
              <w:spacing w:line="240" w:lineRule="auto"/>
              <w:jc w:val="left"/>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lang w:bidi="ar"/>
              </w:rPr>
              <w:t>（不超过</w:t>
            </w:r>
            <w:r>
              <w:rPr>
                <w:rFonts w:hint="eastAsia" w:ascii="仿宋_GB2312" w:hAnsi="仿宋_GB2312" w:eastAsia="仿宋_GB2312" w:cs="仿宋_GB2312"/>
                <w:sz w:val="24"/>
                <w:szCs w:val="24"/>
                <w:u w:val="none"/>
                <w:lang w:val="en-US" w:eastAsia="zh-CN" w:bidi="ar"/>
              </w:rPr>
              <w:t>500</w:t>
            </w:r>
            <w:r>
              <w:rPr>
                <w:rFonts w:hint="eastAsia" w:ascii="仿宋_GB2312" w:hAnsi="仿宋_GB2312" w:eastAsia="仿宋_GB2312" w:cs="仿宋_GB2312"/>
                <w:sz w:val="24"/>
                <w:szCs w:val="24"/>
                <w:u w:val="none"/>
                <w:lang w:bidi="ar"/>
              </w:rPr>
              <w:t>万元）</w:t>
            </w:r>
          </w:p>
          <w:p w14:paraId="6D298CEA">
            <w:pPr>
              <w:keepNext w:val="0"/>
              <w:keepLines w:val="0"/>
              <w:pageBreakBefore w:val="0"/>
              <w:kinsoku/>
              <w:overflowPunct/>
              <w:topLinePunct w:val="0"/>
              <w:autoSpaceDE/>
              <w:autoSpaceDN/>
              <w:bidi w:val="0"/>
              <w:adjustRightInd w:val="0"/>
              <w:snapToGrid w:val="0"/>
              <w:spacing w:line="240" w:lineRule="auto"/>
              <w:ind w:firstLine="1028" w:firstLineChars="400"/>
              <w:jc w:val="left"/>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lang w:bidi="ar"/>
              </w:rPr>
              <w:t>申请省科技厅财政资金不超过：</w:t>
            </w:r>
            <w:r>
              <w:rPr>
                <w:rFonts w:hint="eastAsia" w:ascii="仿宋_GB2312" w:hAnsi="仿宋_GB2312" w:eastAsia="仿宋_GB2312" w:cs="仿宋_GB2312"/>
                <w:sz w:val="24"/>
                <w:szCs w:val="24"/>
                <w:u w:val="none"/>
                <w:lang w:val="en-US" w:eastAsia="zh-CN" w:bidi="ar"/>
              </w:rPr>
              <w:t>500</w:t>
            </w:r>
            <w:r>
              <w:rPr>
                <w:rFonts w:hint="eastAsia" w:ascii="仿宋_GB2312" w:hAnsi="仿宋_GB2312" w:eastAsia="仿宋_GB2312" w:cs="仿宋_GB2312"/>
                <w:sz w:val="24"/>
                <w:szCs w:val="24"/>
                <w:u w:val="none"/>
                <w:lang w:bidi="ar"/>
              </w:rPr>
              <w:t>万元</w:t>
            </w:r>
          </w:p>
        </w:tc>
      </w:tr>
      <w:tr w14:paraId="0E80C9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189" w:hRule="atLeast"/>
          <w:jc w:val="center"/>
        </w:trPr>
        <w:tc>
          <w:tcPr>
            <w:tcW w:w="1023"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698D2830">
            <w:pPr>
              <w:keepNext w:val="0"/>
              <w:keepLines w:val="0"/>
              <w:pageBreakBefore w:val="0"/>
              <w:kinsoku/>
              <w:overflowPunct/>
              <w:topLinePunct w:val="0"/>
              <w:autoSpaceDE/>
              <w:autoSpaceDN/>
              <w:bidi w:val="0"/>
              <w:adjustRightInd w:val="0"/>
              <w:snapToGrid w:val="0"/>
              <w:spacing w:line="240" w:lineRule="auto"/>
              <w:jc w:val="center"/>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lang w:bidi="ar"/>
              </w:rPr>
              <w:t>企业出资承诺</w:t>
            </w:r>
          </w:p>
        </w:tc>
        <w:tc>
          <w:tcPr>
            <w:tcW w:w="7377" w:type="dxa"/>
            <w:gridSpan w:val="3"/>
            <w:tcBorders>
              <w:top w:val="single" w:color="auto" w:sz="6" w:space="0"/>
              <w:left w:val="single" w:color="auto" w:sz="6" w:space="0"/>
              <w:bottom w:val="single" w:color="auto" w:sz="6" w:space="0"/>
              <w:right w:val="single" w:color="auto" w:sz="6" w:space="0"/>
            </w:tcBorders>
            <w:shd w:val="clear" w:color="auto" w:fill="FFFFFF"/>
            <w:noWrap w:val="0"/>
            <w:vAlign w:val="center"/>
          </w:tcPr>
          <w:p w14:paraId="77C02DB7">
            <w:pPr>
              <w:keepNext w:val="0"/>
              <w:keepLines w:val="0"/>
              <w:pageBreakBefore w:val="0"/>
              <w:kinsoku/>
              <w:overflowPunct/>
              <w:topLinePunct w:val="0"/>
              <w:autoSpaceDE/>
              <w:autoSpaceDN/>
              <w:bidi w:val="0"/>
              <w:adjustRightInd w:val="0"/>
              <w:snapToGrid w:val="0"/>
              <w:spacing w:line="240" w:lineRule="auto"/>
              <w:jc w:val="left"/>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lang w:bidi="ar"/>
              </w:rPr>
              <w:t xml:space="preserve">本企业愿意为该技术难题攻关提供研发资金不少于 </w:t>
            </w:r>
            <w:r>
              <w:rPr>
                <w:rFonts w:hint="eastAsia" w:ascii="仿宋_GB2312" w:hAnsi="仿宋_GB2312" w:eastAsia="仿宋_GB2312" w:cs="仿宋_GB2312"/>
                <w:sz w:val="24"/>
                <w:szCs w:val="24"/>
                <w:u w:val="none"/>
                <w:lang w:val="en-US" w:eastAsia="zh-CN" w:bidi="ar"/>
              </w:rPr>
              <w:t>700</w:t>
            </w:r>
            <w:r>
              <w:rPr>
                <w:rFonts w:hint="eastAsia" w:ascii="仿宋_GB2312" w:hAnsi="仿宋_GB2312" w:eastAsia="仿宋_GB2312" w:cs="仿宋_GB2312"/>
                <w:sz w:val="24"/>
                <w:szCs w:val="24"/>
                <w:u w:val="none"/>
                <w:lang w:bidi="ar"/>
              </w:rPr>
              <w:t xml:space="preserve"> 万元。</w:t>
            </w:r>
          </w:p>
          <w:p w14:paraId="66F29E5A">
            <w:pPr>
              <w:rPr>
                <w:rFonts w:hint="eastAsia" w:ascii="仿宋_GB2312" w:hAnsi="仿宋_GB2312" w:eastAsia="仿宋_GB2312" w:cs="仿宋_GB2312"/>
                <w:sz w:val="24"/>
                <w:szCs w:val="24"/>
                <w:u w:val="none"/>
              </w:rPr>
            </w:pPr>
          </w:p>
          <w:p w14:paraId="439BDF2C">
            <w:pPr>
              <w:keepNext w:val="0"/>
              <w:keepLines w:val="0"/>
              <w:pageBreakBefore w:val="0"/>
              <w:kinsoku/>
              <w:overflowPunct/>
              <w:topLinePunct w:val="0"/>
              <w:autoSpaceDE/>
              <w:autoSpaceDN/>
              <w:bidi w:val="0"/>
              <w:adjustRightInd w:val="0"/>
              <w:snapToGrid w:val="0"/>
              <w:spacing w:line="240" w:lineRule="auto"/>
              <w:jc w:val="left"/>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lang w:bidi="ar"/>
              </w:rPr>
              <w:t>企业名称</w:t>
            </w:r>
            <w:r>
              <w:rPr>
                <w:rFonts w:hint="eastAsia" w:ascii="仿宋_GB2312" w:hAnsi="仿宋_GB2312" w:cs="仿宋_GB2312"/>
                <w:sz w:val="24"/>
                <w:szCs w:val="24"/>
                <w:u w:val="none"/>
                <w:lang w:eastAsia="zh-CN" w:bidi="ar"/>
              </w:rPr>
              <w:t>：</w:t>
            </w:r>
            <w:r>
              <w:rPr>
                <w:rFonts w:hint="eastAsia" w:ascii="仿宋_GB2312" w:hAnsi="仿宋_GB2312" w:eastAsia="仿宋_GB2312" w:cs="仿宋_GB2312"/>
                <w:sz w:val="24"/>
                <w:szCs w:val="24"/>
                <w:u w:val="none"/>
              </w:rPr>
              <w:t>三明市海斯福化工有限责任公司</w:t>
            </w:r>
            <w:r>
              <w:rPr>
                <w:rFonts w:hint="eastAsia" w:ascii="仿宋_GB2312" w:hAnsi="仿宋_GB2312" w:eastAsia="仿宋_GB2312" w:cs="仿宋_GB2312"/>
                <w:sz w:val="24"/>
                <w:szCs w:val="24"/>
                <w:u w:val="none"/>
                <w:lang w:bidi="ar"/>
              </w:rPr>
              <w:t xml:space="preserve">     </w:t>
            </w:r>
          </w:p>
        </w:tc>
      </w:tr>
      <w:tr w14:paraId="037E01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900" w:hRule="atLeast"/>
          <w:jc w:val="center"/>
        </w:trPr>
        <w:tc>
          <w:tcPr>
            <w:tcW w:w="1023"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17648D14">
            <w:pPr>
              <w:keepNext w:val="0"/>
              <w:keepLines w:val="0"/>
              <w:pageBreakBefore w:val="0"/>
              <w:kinsoku/>
              <w:overflowPunct/>
              <w:topLinePunct w:val="0"/>
              <w:autoSpaceDE/>
              <w:autoSpaceDN/>
              <w:bidi w:val="0"/>
              <w:adjustRightInd w:val="0"/>
              <w:snapToGrid w:val="0"/>
              <w:spacing w:line="240" w:lineRule="auto"/>
              <w:jc w:val="center"/>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lang w:bidi="ar"/>
              </w:rPr>
              <w:t>企业期望产权归属（以双方实际签署合作协议为准）</w:t>
            </w:r>
          </w:p>
        </w:tc>
        <w:tc>
          <w:tcPr>
            <w:tcW w:w="7377" w:type="dxa"/>
            <w:gridSpan w:val="3"/>
            <w:tcBorders>
              <w:top w:val="single" w:color="auto" w:sz="6" w:space="0"/>
              <w:left w:val="single" w:color="auto" w:sz="6" w:space="0"/>
              <w:bottom w:val="single" w:color="auto" w:sz="6" w:space="0"/>
              <w:right w:val="single" w:color="auto" w:sz="6" w:space="0"/>
            </w:tcBorders>
            <w:shd w:val="clear" w:color="auto" w:fill="FFFFFF"/>
            <w:noWrap w:val="0"/>
            <w:vAlign w:val="center"/>
          </w:tcPr>
          <w:p w14:paraId="6D0CD4DE">
            <w:pPr>
              <w:keepNext w:val="0"/>
              <w:keepLines w:val="0"/>
              <w:widowControl w:val="0"/>
              <w:kinsoku/>
              <w:overflowPunct/>
              <w:autoSpaceDE/>
              <w:bidi w:val="0"/>
              <w:snapToGrid w:val="0"/>
              <w:spacing w:before="0" w:after="0" w:line="240" w:lineRule="auto"/>
              <w:ind w:right="0" w:rightChars="0" w:firstLine="514" w:firstLineChars="0"/>
              <w:jc w:val="left"/>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lang w:bidi="ar"/>
              </w:rPr>
              <w:t>既有知识产权归原权利人；新增成果按实际研发贡献及合作协议约定归属。海斯福获得约定场景内的部署、持续使用、数据导出及维护保障，现场生产数据依法授权使用。通用软件、算法及行业适配成果的推广许可和收益另行约定，建立软件、模型版本及成果交付清单。</w:t>
            </w:r>
          </w:p>
        </w:tc>
      </w:tr>
      <w:tr w14:paraId="0D8ABE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480" w:hRule="atLeast"/>
          <w:jc w:val="center"/>
        </w:trPr>
        <w:tc>
          <w:tcPr>
            <w:tcW w:w="1023"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30B6CB3D">
            <w:pPr>
              <w:keepNext w:val="0"/>
              <w:keepLines w:val="0"/>
              <w:pageBreakBefore w:val="0"/>
              <w:kinsoku/>
              <w:overflowPunct/>
              <w:topLinePunct w:val="0"/>
              <w:autoSpaceDE/>
              <w:autoSpaceDN/>
              <w:bidi w:val="0"/>
              <w:adjustRightInd w:val="0"/>
              <w:snapToGrid w:val="0"/>
              <w:spacing w:line="240" w:lineRule="auto"/>
              <w:jc w:val="center"/>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lang w:bidi="ar"/>
              </w:rPr>
              <w:t>企业承接转化后预期的经济、社会效益（限300字以内）</w:t>
            </w:r>
          </w:p>
        </w:tc>
        <w:tc>
          <w:tcPr>
            <w:tcW w:w="7377" w:type="dxa"/>
            <w:gridSpan w:val="3"/>
            <w:tcBorders>
              <w:top w:val="single" w:color="auto" w:sz="6" w:space="0"/>
              <w:left w:val="single" w:color="auto" w:sz="6" w:space="0"/>
              <w:bottom w:val="single" w:color="auto" w:sz="6" w:space="0"/>
              <w:right w:val="single" w:color="auto" w:sz="6" w:space="0"/>
            </w:tcBorders>
            <w:shd w:val="clear" w:color="auto" w:fill="FFFFFF"/>
            <w:noWrap w:val="0"/>
            <w:vAlign w:val="center"/>
          </w:tcPr>
          <w:p w14:paraId="1FE6533C">
            <w:pPr>
              <w:keepNext w:val="0"/>
              <w:keepLines w:val="0"/>
              <w:widowControl w:val="0"/>
              <w:kinsoku/>
              <w:overflowPunct/>
              <w:autoSpaceDE/>
              <w:bidi w:val="0"/>
              <w:snapToGrid w:val="0"/>
              <w:spacing w:before="0" w:after="0" w:line="240" w:lineRule="auto"/>
              <w:ind w:right="0" w:rightChars="0" w:firstLine="514" w:firstLineChars="0"/>
              <w:jc w:val="left"/>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lang w:bidi="ar"/>
              </w:rPr>
              <w:t>形成覆盖反应、输送、危化品仓储和污染治理的示范应用，提升工艺风险预判、设备故障识别和处置追溯能力，减少高危区域例行巡检暴露；通过预测性维护与跨单元复用，改善运维效率和系统重复建设问题。形成标准化解决方案，支撑福建及同类氟化工企业复制推广。经济效益以实施前后同口径的停机、检修、巡检和运维数据评价。</w:t>
            </w:r>
          </w:p>
        </w:tc>
      </w:tr>
    </w:tbl>
    <w:p w14:paraId="26FDBABF">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sz w:val="32"/>
          <w:szCs w:val="32"/>
          <w:u w:val="none"/>
          <w:lang w:eastAsia="zh-CN"/>
        </w:rPr>
      </w:pPr>
    </w:p>
    <w:p w14:paraId="729966BD">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sz w:val="32"/>
          <w:szCs w:val="32"/>
          <w:u w:val="none"/>
          <w:lang w:eastAsia="zh-CN"/>
        </w:rPr>
      </w:pPr>
    </w:p>
    <w:p w14:paraId="66368618">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sz w:val="32"/>
          <w:szCs w:val="32"/>
          <w:u w:val="none"/>
          <w:lang w:eastAsia="zh-CN"/>
        </w:rPr>
      </w:pPr>
    </w:p>
    <w:p w14:paraId="10870BFD">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sz w:val="32"/>
          <w:szCs w:val="32"/>
          <w:u w:val="none"/>
          <w:lang w:eastAsia="zh-CN"/>
        </w:rPr>
      </w:pPr>
    </w:p>
    <w:p w14:paraId="20CDF6AF">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sz w:val="32"/>
          <w:szCs w:val="32"/>
          <w:u w:val="none"/>
          <w:lang w:eastAsia="zh-CN"/>
        </w:rPr>
      </w:pPr>
    </w:p>
    <w:p w14:paraId="74AC4896">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sz w:val="32"/>
          <w:szCs w:val="32"/>
          <w:u w:val="none"/>
          <w:lang w:eastAsia="zh-CN"/>
        </w:rPr>
      </w:pPr>
    </w:p>
    <w:p w14:paraId="41DDCD3D">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sz w:val="32"/>
          <w:szCs w:val="32"/>
          <w:u w:val="none"/>
          <w:lang w:eastAsia="zh-CN"/>
        </w:rPr>
      </w:pPr>
    </w:p>
    <w:p w14:paraId="69778F3C">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sz w:val="32"/>
          <w:szCs w:val="32"/>
          <w:u w:val="none"/>
          <w:lang w:eastAsia="zh-CN"/>
        </w:rPr>
      </w:pPr>
    </w:p>
    <w:p w14:paraId="513C08E6">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sz w:val="32"/>
          <w:szCs w:val="32"/>
          <w:u w:val="none"/>
          <w:lang w:eastAsia="zh-CN"/>
        </w:rPr>
        <w:sectPr>
          <w:pgSz w:w="11906" w:h="16838"/>
          <w:pgMar w:top="2098" w:right="1531" w:bottom="1984" w:left="1531" w:header="851" w:footer="1417" w:gutter="0"/>
          <w:pgNumType w:fmt="decimal"/>
          <w:cols w:space="0" w:num="1"/>
          <w:titlePg/>
          <w:docGrid w:type="linesAndChars" w:linePitch="579" w:charSpace="3686"/>
        </w:sectPr>
      </w:pPr>
    </w:p>
    <w:p w14:paraId="7311B701">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sz w:val="32"/>
          <w:szCs w:val="32"/>
          <w:u w:val="none"/>
          <w:lang w:val="en-US" w:eastAsia="zh-CN"/>
        </w:rPr>
      </w:pPr>
      <w:r>
        <w:rPr>
          <w:rFonts w:hint="eastAsia" w:ascii="黑体" w:hAnsi="黑体" w:eastAsia="黑体" w:cs="黑体"/>
          <w:sz w:val="32"/>
          <w:szCs w:val="32"/>
          <w:u w:val="none"/>
          <w:lang w:eastAsia="zh-CN"/>
        </w:rPr>
        <w:t>榜单六（成果转化项目）：绿色高功能性纺织纤维材料制备技术及产业化（指南代码</w:t>
      </w:r>
      <w:r>
        <w:rPr>
          <w:rFonts w:hint="eastAsia" w:ascii="黑体" w:hAnsi="黑体" w:eastAsia="黑体" w:cs="黑体"/>
          <w:sz w:val="32"/>
          <w:szCs w:val="32"/>
          <w:u w:val="none"/>
          <w:lang w:val="en-US" w:eastAsia="zh-CN"/>
        </w:rPr>
        <w:t>2026T0101</w:t>
      </w:r>
      <w:r>
        <w:rPr>
          <w:rFonts w:hint="eastAsia" w:ascii="黑体" w:hAnsi="黑体" w:eastAsia="黑体" w:cs="黑体"/>
          <w:sz w:val="32"/>
          <w:szCs w:val="32"/>
          <w:u w:val="none"/>
          <w:lang w:eastAsia="zh-CN"/>
        </w:rPr>
        <w:t>）</w:t>
      </w:r>
    </w:p>
    <w:tbl>
      <w:tblPr>
        <w:tblStyle w:val="12"/>
        <w:tblW w:w="8965"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Layout w:type="fixed"/>
        <w:tblCellMar>
          <w:top w:w="57" w:type="dxa"/>
          <w:left w:w="57" w:type="dxa"/>
          <w:bottom w:w="57" w:type="dxa"/>
          <w:right w:w="57" w:type="dxa"/>
        </w:tblCellMar>
      </w:tblPr>
      <w:tblGrid>
        <w:gridCol w:w="1039"/>
        <w:gridCol w:w="638"/>
        <w:gridCol w:w="3230"/>
        <w:gridCol w:w="1752"/>
        <w:gridCol w:w="2306"/>
      </w:tblGrid>
      <w:tr w14:paraId="157796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454" w:hRule="atLeast"/>
          <w:jc w:val="center"/>
        </w:trPr>
        <w:tc>
          <w:tcPr>
            <w:tcW w:w="1677" w:type="dxa"/>
            <w:gridSpan w:val="2"/>
            <w:shd w:val="clear" w:color="auto" w:fill="FFFFFF"/>
            <w:noWrap w:val="0"/>
            <w:vAlign w:val="center"/>
          </w:tcPr>
          <w:p w14:paraId="057E99E7">
            <w:pPr>
              <w:adjustRightInd w:val="0"/>
              <w:snapToGrid w:val="0"/>
              <w:jc w:val="center"/>
              <w:rPr>
                <w:rFonts w:hint="eastAsia" w:ascii="仿宋_GB2312" w:hAnsi="仿宋_GB2312" w:eastAsia="仿宋_GB2312" w:cs="仿宋_GB2312"/>
                <w:sz w:val="24"/>
                <w:u w:val="none"/>
              </w:rPr>
            </w:pPr>
            <w:r>
              <w:rPr>
                <w:rFonts w:hint="eastAsia" w:ascii="仿宋_GB2312" w:hAnsi="仿宋_GB2312" w:eastAsia="仿宋_GB2312" w:cs="仿宋_GB2312"/>
                <w:sz w:val="24"/>
                <w:u w:val="none"/>
              </w:rPr>
              <w:t>项目类型</w:t>
            </w:r>
          </w:p>
        </w:tc>
        <w:tc>
          <w:tcPr>
            <w:tcW w:w="7288" w:type="dxa"/>
            <w:gridSpan w:val="3"/>
            <w:shd w:val="clear" w:color="auto" w:fill="FFFFFF"/>
            <w:noWrap w:val="0"/>
            <w:vAlign w:val="center"/>
          </w:tcPr>
          <w:p w14:paraId="5D496102">
            <w:pPr>
              <w:adjustRightInd w:val="0"/>
              <w:snapToGrid w:val="0"/>
              <w:jc w:val="center"/>
              <w:rPr>
                <w:rFonts w:hint="eastAsia" w:ascii="仿宋_GB2312" w:hAnsi="仿宋_GB2312" w:eastAsia="仿宋_GB2312" w:cs="仿宋_GB2312"/>
                <w:sz w:val="24"/>
                <w:u w:val="none"/>
              </w:rPr>
            </w:pPr>
            <w:r>
              <w:rPr>
                <w:rFonts w:hint="eastAsia" w:ascii="仿宋_GB2312" w:hAnsi="仿宋_GB2312" w:eastAsia="仿宋_GB2312" w:cs="仿宋_GB2312"/>
                <w:sz w:val="24"/>
                <w:u w:val="none"/>
              </w:rPr>
              <w:t>成果转化项目</w:t>
            </w:r>
          </w:p>
        </w:tc>
      </w:tr>
      <w:tr w14:paraId="3515EE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454" w:hRule="atLeast"/>
          <w:jc w:val="center"/>
        </w:trPr>
        <w:tc>
          <w:tcPr>
            <w:tcW w:w="1677" w:type="dxa"/>
            <w:gridSpan w:val="2"/>
            <w:shd w:val="clear" w:color="auto" w:fill="FFFFFF"/>
            <w:noWrap w:val="0"/>
            <w:vAlign w:val="center"/>
          </w:tcPr>
          <w:p w14:paraId="67188103">
            <w:pPr>
              <w:adjustRightInd w:val="0"/>
              <w:snapToGrid w:val="0"/>
              <w:jc w:val="center"/>
              <w:rPr>
                <w:rFonts w:hint="eastAsia" w:ascii="仿宋_GB2312" w:hAnsi="仿宋_GB2312" w:eastAsia="仿宋_GB2312" w:cs="仿宋_GB2312"/>
                <w:sz w:val="24"/>
                <w:u w:val="none"/>
              </w:rPr>
            </w:pPr>
            <w:r>
              <w:rPr>
                <w:rFonts w:hint="eastAsia" w:ascii="仿宋_GB2312" w:hAnsi="仿宋_GB2312" w:eastAsia="仿宋_GB2312" w:cs="仿宋_GB2312"/>
                <w:sz w:val="24"/>
                <w:u w:val="none"/>
              </w:rPr>
              <w:t>成果名称</w:t>
            </w:r>
          </w:p>
        </w:tc>
        <w:tc>
          <w:tcPr>
            <w:tcW w:w="7288" w:type="dxa"/>
            <w:gridSpan w:val="3"/>
            <w:shd w:val="clear" w:color="auto" w:fill="FFFFFF"/>
            <w:noWrap w:val="0"/>
            <w:vAlign w:val="center"/>
          </w:tcPr>
          <w:p w14:paraId="350049C0">
            <w:pPr>
              <w:spacing w:line="240" w:lineRule="auto"/>
              <w:jc w:val="center"/>
              <w:rPr>
                <w:rFonts w:hint="eastAsia" w:ascii="仿宋_GB2312" w:hAnsi="仿宋_GB2312" w:eastAsia="仿宋_GB2312" w:cs="仿宋_GB2312"/>
                <w:sz w:val="24"/>
                <w:u w:val="none"/>
              </w:rPr>
            </w:pPr>
            <w:r>
              <w:rPr>
                <w:rFonts w:hint="eastAsia" w:ascii="仿宋_GB2312" w:hAnsi="仿宋_GB2312" w:eastAsia="仿宋_GB2312" w:cs="仿宋_GB2312"/>
                <w:kern w:val="0"/>
                <w:sz w:val="24"/>
                <w:u w:val="none"/>
              </w:rPr>
              <w:t>绿色高功能性纺织纤维材料制备技术及产业化</w:t>
            </w:r>
          </w:p>
        </w:tc>
      </w:tr>
      <w:tr w14:paraId="6A41DE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54" w:hRule="atLeast"/>
          <w:jc w:val="center"/>
        </w:trPr>
        <w:tc>
          <w:tcPr>
            <w:tcW w:w="1677" w:type="dxa"/>
            <w:gridSpan w:val="2"/>
            <w:shd w:val="clear" w:color="auto" w:fill="FFFFFF"/>
            <w:noWrap w:val="0"/>
            <w:vAlign w:val="center"/>
          </w:tcPr>
          <w:p w14:paraId="27DC7F84">
            <w:pPr>
              <w:adjustRightInd w:val="0"/>
              <w:snapToGrid w:val="0"/>
              <w:jc w:val="center"/>
              <w:rPr>
                <w:rFonts w:hint="eastAsia" w:ascii="仿宋_GB2312" w:hAnsi="仿宋_GB2312" w:eastAsia="仿宋_GB2312" w:cs="仿宋_GB2312"/>
                <w:sz w:val="24"/>
                <w:u w:val="none"/>
              </w:rPr>
            </w:pPr>
            <w:r>
              <w:rPr>
                <w:rFonts w:hint="eastAsia" w:ascii="仿宋_GB2312" w:hAnsi="仿宋_GB2312" w:eastAsia="仿宋_GB2312" w:cs="仿宋_GB2312"/>
                <w:sz w:val="24"/>
                <w:u w:val="none"/>
              </w:rPr>
              <w:t>成果来源单位　</w:t>
            </w:r>
          </w:p>
        </w:tc>
        <w:tc>
          <w:tcPr>
            <w:tcW w:w="3230" w:type="dxa"/>
            <w:shd w:val="clear" w:color="auto" w:fill="FFFFFF"/>
            <w:noWrap w:val="0"/>
            <w:vAlign w:val="center"/>
          </w:tcPr>
          <w:p w14:paraId="41EFB5B6">
            <w:pPr>
              <w:adjustRightInd w:val="0"/>
              <w:snapToGrid w:val="0"/>
              <w:jc w:val="center"/>
              <w:rPr>
                <w:rFonts w:hint="eastAsia" w:ascii="仿宋_GB2312" w:hAnsi="仿宋_GB2312" w:eastAsia="仿宋_GB2312" w:cs="仿宋_GB2312"/>
                <w:sz w:val="24"/>
                <w:u w:val="none"/>
              </w:rPr>
            </w:pPr>
            <w:r>
              <w:rPr>
                <w:rFonts w:hint="eastAsia" w:ascii="仿宋_GB2312" w:hAnsi="仿宋_GB2312" w:eastAsia="仿宋_GB2312" w:cs="仿宋_GB2312"/>
                <w:sz w:val="24"/>
                <w:u w:val="none"/>
              </w:rPr>
              <w:t>东华大学</w:t>
            </w:r>
          </w:p>
        </w:tc>
        <w:tc>
          <w:tcPr>
            <w:tcW w:w="1752" w:type="dxa"/>
            <w:shd w:val="clear" w:color="auto" w:fill="FFFFFF"/>
            <w:noWrap w:val="0"/>
            <w:vAlign w:val="center"/>
          </w:tcPr>
          <w:p w14:paraId="4C91B412">
            <w:pPr>
              <w:adjustRightInd w:val="0"/>
              <w:snapToGrid w:val="0"/>
              <w:jc w:val="center"/>
              <w:rPr>
                <w:rFonts w:hint="eastAsia" w:ascii="仿宋_GB2312" w:hAnsi="仿宋_GB2312" w:eastAsia="仿宋_GB2312" w:cs="仿宋_GB2312"/>
                <w:sz w:val="24"/>
                <w:u w:val="none"/>
              </w:rPr>
            </w:pPr>
            <w:r>
              <w:rPr>
                <w:rFonts w:hint="eastAsia" w:ascii="仿宋_GB2312" w:hAnsi="仿宋_GB2312" w:eastAsia="仿宋_GB2312" w:cs="仿宋_GB2312"/>
                <w:sz w:val="24"/>
                <w:u w:val="none"/>
              </w:rPr>
              <w:t>单位性质</w:t>
            </w:r>
          </w:p>
        </w:tc>
        <w:tc>
          <w:tcPr>
            <w:tcW w:w="2306" w:type="dxa"/>
            <w:shd w:val="clear" w:color="auto" w:fill="FFFFFF"/>
            <w:noWrap w:val="0"/>
            <w:vAlign w:val="center"/>
          </w:tcPr>
          <w:p w14:paraId="76CBE53A">
            <w:pPr>
              <w:adjustRightInd w:val="0"/>
              <w:snapToGrid w:val="0"/>
              <w:jc w:val="center"/>
              <w:rPr>
                <w:rFonts w:hint="eastAsia" w:ascii="仿宋_GB2312" w:hAnsi="仿宋_GB2312" w:eastAsia="仿宋_GB2312" w:cs="仿宋_GB2312"/>
                <w:sz w:val="24"/>
                <w:u w:val="none"/>
              </w:rPr>
            </w:pPr>
            <w:r>
              <w:rPr>
                <w:rFonts w:hint="eastAsia" w:ascii="仿宋_GB2312" w:hAnsi="仿宋_GB2312" w:eastAsia="仿宋_GB2312" w:cs="仿宋_GB2312"/>
                <w:sz w:val="24"/>
                <w:u w:val="none"/>
              </w:rPr>
              <w:t>高等院校</w:t>
            </w:r>
          </w:p>
        </w:tc>
      </w:tr>
      <w:tr w14:paraId="76D973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454" w:hRule="atLeast"/>
          <w:jc w:val="center"/>
        </w:trPr>
        <w:tc>
          <w:tcPr>
            <w:tcW w:w="1677" w:type="dxa"/>
            <w:gridSpan w:val="2"/>
            <w:shd w:val="clear" w:color="auto" w:fill="FFFFFF"/>
            <w:noWrap w:val="0"/>
            <w:vAlign w:val="center"/>
          </w:tcPr>
          <w:p w14:paraId="42AB41AB">
            <w:pPr>
              <w:adjustRightInd w:val="0"/>
              <w:snapToGrid w:val="0"/>
              <w:jc w:val="center"/>
              <w:rPr>
                <w:rFonts w:hint="eastAsia" w:ascii="仿宋_GB2312" w:hAnsi="仿宋_GB2312" w:eastAsia="仿宋_GB2312" w:cs="仿宋_GB2312"/>
                <w:sz w:val="24"/>
                <w:u w:val="none"/>
              </w:rPr>
            </w:pPr>
            <w:r>
              <w:rPr>
                <w:rFonts w:hint="eastAsia" w:ascii="仿宋_GB2312" w:hAnsi="仿宋_GB2312" w:eastAsia="仿宋_GB2312" w:cs="仿宋_GB2312"/>
                <w:sz w:val="24"/>
                <w:u w:val="none"/>
              </w:rPr>
              <w:t>联系人</w:t>
            </w:r>
          </w:p>
        </w:tc>
        <w:tc>
          <w:tcPr>
            <w:tcW w:w="3230" w:type="dxa"/>
            <w:shd w:val="clear" w:color="auto" w:fill="FFFFFF"/>
            <w:noWrap w:val="0"/>
            <w:vAlign w:val="center"/>
          </w:tcPr>
          <w:p w14:paraId="0D9E0DBB">
            <w:pPr>
              <w:adjustRightInd w:val="0"/>
              <w:snapToGrid w:val="0"/>
              <w:jc w:val="center"/>
              <w:rPr>
                <w:rFonts w:hint="eastAsia" w:ascii="仿宋_GB2312" w:hAnsi="仿宋_GB2312" w:eastAsia="仿宋_GB2312" w:cs="仿宋_GB2312"/>
                <w:sz w:val="24"/>
                <w:u w:val="none"/>
              </w:rPr>
            </w:pPr>
            <w:r>
              <w:rPr>
                <w:rFonts w:hint="eastAsia" w:ascii="仿宋_GB2312" w:hAnsi="仿宋_GB2312" w:eastAsia="仿宋_GB2312" w:cs="仿宋_GB2312"/>
                <w:sz w:val="24"/>
                <w:u w:val="none"/>
              </w:rPr>
              <w:t>覃小红</w:t>
            </w:r>
          </w:p>
        </w:tc>
        <w:tc>
          <w:tcPr>
            <w:tcW w:w="1752" w:type="dxa"/>
            <w:shd w:val="clear" w:color="auto" w:fill="FFFFFF"/>
            <w:noWrap w:val="0"/>
            <w:vAlign w:val="center"/>
          </w:tcPr>
          <w:p w14:paraId="5E68205B">
            <w:pPr>
              <w:adjustRightInd w:val="0"/>
              <w:snapToGrid w:val="0"/>
              <w:jc w:val="center"/>
              <w:rPr>
                <w:rFonts w:hint="eastAsia" w:ascii="仿宋_GB2312" w:hAnsi="仿宋_GB2312" w:eastAsia="仿宋_GB2312" w:cs="仿宋_GB2312"/>
                <w:sz w:val="24"/>
                <w:u w:val="none"/>
              </w:rPr>
            </w:pPr>
            <w:r>
              <w:rPr>
                <w:rFonts w:hint="eastAsia" w:ascii="仿宋_GB2312" w:hAnsi="仿宋_GB2312" w:eastAsia="仿宋_GB2312" w:cs="仿宋_GB2312"/>
                <w:sz w:val="24"/>
                <w:u w:val="none"/>
              </w:rPr>
              <w:t>联系方式</w:t>
            </w:r>
          </w:p>
        </w:tc>
        <w:tc>
          <w:tcPr>
            <w:tcW w:w="2306" w:type="dxa"/>
            <w:shd w:val="clear" w:color="auto" w:fill="FFFFFF"/>
            <w:noWrap w:val="0"/>
            <w:vAlign w:val="center"/>
          </w:tcPr>
          <w:p w14:paraId="70A12A62">
            <w:pPr>
              <w:adjustRightInd w:val="0"/>
              <w:snapToGrid w:val="0"/>
              <w:jc w:val="center"/>
              <w:rPr>
                <w:rFonts w:hint="eastAsia" w:ascii="仿宋_GB2312" w:hAnsi="仿宋_GB2312" w:eastAsia="仿宋_GB2312" w:cs="仿宋_GB2312"/>
                <w:sz w:val="24"/>
                <w:u w:val="none"/>
              </w:rPr>
            </w:pPr>
            <w:r>
              <w:rPr>
                <w:rFonts w:hint="eastAsia" w:ascii="仿宋_GB2312" w:hAnsi="仿宋_GB2312" w:eastAsia="仿宋_GB2312" w:cs="仿宋_GB2312"/>
                <w:sz w:val="24"/>
                <w:u w:val="none"/>
              </w:rPr>
              <w:t>13916294575</w:t>
            </w:r>
          </w:p>
        </w:tc>
      </w:tr>
      <w:tr w14:paraId="4AE498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454" w:hRule="atLeast"/>
          <w:jc w:val="center"/>
        </w:trPr>
        <w:tc>
          <w:tcPr>
            <w:tcW w:w="1677" w:type="dxa"/>
            <w:gridSpan w:val="2"/>
            <w:shd w:val="clear" w:color="auto" w:fill="FFFFFF"/>
            <w:noWrap w:val="0"/>
            <w:vAlign w:val="center"/>
          </w:tcPr>
          <w:p w14:paraId="6D750747">
            <w:pPr>
              <w:adjustRightInd w:val="0"/>
              <w:snapToGrid w:val="0"/>
              <w:jc w:val="center"/>
              <w:rPr>
                <w:rFonts w:hint="eastAsia" w:ascii="仿宋_GB2312" w:hAnsi="仿宋_GB2312" w:eastAsia="仿宋_GB2312" w:cs="仿宋_GB2312"/>
                <w:sz w:val="24"/>
                <w:u w:val="none"/>
              </w:rPr>
            </w:pPr>
            <w:r>
              <w:rPr>
                <w:rFonts w:hint="eastAsia" w:ascii="仿宋_GB2312" w:hAnsi="仿宋_GB2312" w:eastAsia="仿宋_GB2312" w:cs="仿宋_GB2312"/>
                <w:sz w:val="24"/>
                <w:u w:val="none"/>
              </w:rPr>
              <w:t>转化方式</w:t>
            </w:r>
          </w:p>
        </w:tc>
        <w:tc>
          <w:tcPr>
            <w:tcW w:w="7288" w:type="dxa"/>
            <w:gridSpan w:val="3"/>
            <w:shd w:val="clear" w:color="auto" w:fill="FFFFFF"/>
            <w:noWrap w:val="0"/>
            <w:vAlign w:val="center"/>
          </w:tcPr>
          <w:p w14:paraId="61E9E217">
            <w:pPr>
              <w:adjustRightInd w:val="0"/>
              <w:snapToGrid w:val="0"/>
              <w:jc w:val="center"/>
              <w:rPr>
                <w:rFonts w:hint="eastAsia" w:ascii="仿宋_GB2312" w:hAnsi="仿宋_GB2312" w:eastAsia="仿宋_GB2312" w:cs="仿宋_GB2312"/>
                <w:sz w:val="24"/>
                <w:u w:val="none"/>
              </w:rPr>
            </w:pPr>
            <w:r>
              <w:rPr>
                <w:rFonts w:hint="eastAsia" w:ascii="仿宋_GB2312" w:hAnsi="仿宋_GB2312" w:eastAsia="仿宋_GB2312" w:cs="仿宋_GB2312"/>
                <w:sz w:val="24"/>
                <w:u w:val="none"/>
              </w:rPr>
              <w:t>技术</w:t>
            </w:r>
            <w:r>
              <w:rPr>
                <w:rFonts w:hint="eastAsia" w:ascii="仿宋_GB2312" w:hAnsi="仿宋_GB2312" w:eastAsia="仿宋_GB2312" w:cs="仿宋_GB2312"/>
                <w:sz w:val="24"/>
                <w:u w:val="none"/>
                <w:lang w:eastAsia="zh-CN"/>
              </w:rPr>
              <w:t>转让</w:t>
            </w:r>
          </w:p>
        </w:tc>
      </w:tr>
      <w:tr w14:paraId="7E9DC8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454" w:hRule="atLeast"/>
          <w:jc w:val="center"/>
        </w:trPr>
        <w:tc>
          <w:tcPr>
            <w:tcW w:w="1677" w:type="dxa"/>
            <w:gridSpan w:val="2"/>
            <w:shd w:val="clear" w:color="auto" w:fill="FFFFFF"/>
            <w:noWrap w:val="0"/>
            <w:vAlign w:val="center"/>
          </w:tcPr>
          <w:p w14:paraId="7F9CB8B8">
            <w:pPr>
              <w:adjustRightInd w:val="0"/>
              <w:snapToGrid w:val="0"/>
              <w:jc w:val="center"/>
              <w:rPr>
                <w:rFonts w:hint="eastAsia" w:ascii="仿宋_GB2312" w:hAnsi="仿宋_GB2312" w:eastAsia="仿宋_GB2312" w:cs="仿宋_GB2312"/>
                <w:sz w:val="24"/>
                <w:u w:val="none"/>
              </w:rPr>
            </w:pPr>
            <w:r>
              <w:rPr>
                <w:rFonts w:hint="eastAsia" w:ascii="仿宋_GB2312" w:hAnsi="仿宋_GB2312" w:eastAsia="仿宋_GB2312" w:cs="仿宋_GB2312"/>
                <w:sz w:val="24"/>
                <w:u w:val="none"/>
              </w:rPr>
              <w:t>主管单位</w:t>
            </w:r>
          </w:p>
        </w:tc>
        <w:tc>
          <w:tcPr>
            <w:tcW w:w="7288" w:type="dxa"/>
            <w:gridSpan w:val="3"/>
            <w:shd w:val="clear" w:color="auto" w:fill="FFFFFF"/>
            <w:noWrap w:val="0"/>
            <w:vAlign w:val="center"/>
          </w:tcPr>
          <w:p w14:paraId="52AB24D2">
            <w:pPr>
              <w:adjustRightInd w:val="0"/>
              <w:snapToGrid w:val="0"/>
              <w:jc w:val="center"/>
              <w:rPr>
                <w:rFonts w:hint="eastAsia" w:ascii="仿宋_GB2312" w:hAnsi="仿宋_GB2312" w:eastAsia="仿宋_GB2312" w:cs="仿宋_GB2312"/>
                <w:sz w:val="24"/>
                <w:u w:val="none"/>
                <w:lang w:eastAsia="zh-CN"/>
              </w:rPr>
            </w:pPr>
            <w:r>
              <w:rPr>
                <w:rFonts w:hint="eastAsia" w:ascii="仿宋_GB2312" w:hAnsi="仿宋_GB2312" w:eastAsia="仿宋_GB2312" w:cs="仿宋_GB2312"/>
                <w:sz w:val="24"/>
                <w:u w:val="none"/>
                <w:lang w:eastAsia="zh-CN"/>
              </w:rPr>
              <w:t>福建省科学技术厅</w:t>
            </w:r>
          </w:p>
        </w:tc>
      </w:tr>
      <w:tr w14:paraId="562385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1199" w:hRule="atLeast"/>
          <w:jc w:val="center"/>
        </w:trPr>
        <w:tc>
          <w:tcPr>
            <w:tcW w:w="1039" w:type="dxa"/>
            <w:shd w:val="clear" w:color="auto" w:fill="FFFFFF"/>
            <w:noWrap w:val="0"/>
            <w:vAlign w:val="center"/>
          </w:tcPr>
          <w:p w14:paraId="19D438BA">
            <w:pPr>
              <w:pStyle w:val="6"/>
              <w:spacing w:line="240" w:lineRule="auto"/>
              <w:jc w:val="center"/>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成果</w:t>
            </w:r>
          </w:p>
          <w:p w14:paraId="374440C1">
            <w:pPr>
              <w:pStyle w:val="6"/>
              <w:spacing w:line="240" w:lineRule="auto"/>
              <w:jc w:val="center"/>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概述</w:t>
            </w:r>
          </w:p>
        </w:tc>
        <w:tc>
          <w:tcPr>
            <w:tcW w:w="7926" w:type="dxa"/>
            <w:gridSpan w:val="4"/>
            <w:shd w:val="clear" w:color="auto" w:fill="FFFFFF"/>
            <w:noWrap w:val="0"/>
            <w:vAlign w:val="center"/>
          </w:tcPr>
          <w:p w14:paraId="0C2FB887">
            <w:pPr>
              <w:pStyle w:val="6"/>
              <w:spacing w:line="240" w:lineRule="auto"/>
              <w:jc w:val="both"/>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（成果简介、技术成熟度、解决的关键技术问题、主要创新点、关键技术指标、技术优势、国内外相关技术研究开发现状和发展趋势、成果相关图片——工艺流程、产品示范或企业应用情况等）</w:t>
            </w:r>
          </w:p>
          <w:p w14:paraId="7C64C8E9">
            <w:pPr>
              <w:adjustRightInd w:val="0"/>
              <w:snapToGrid w:val="0"/>
              <w:ind w:firstLine="514" w:firstLineChars="200"/>
              <w:rPr>
                <w:rFonts w:hint="eastAsia" w:ascii="仿宋_GB2312" w:hAnsi="仿宋_GB2312" w:eastAsia="仿宋_GB2312" w:cs="仿宋_GB2312"/>
                <w:sz w:val="24"/>
                <w:u w:val="none"/>
              </w:rPr>
            </w:pPr>
            <w:r>
              <w:rPr>
                <w:rFonts w:hint="eastAsia" w:ascii="仿宋_GB2312" w:hAnsi="仿宋_GB2312" w:eastAsia="仿宋_GB2312" w:cs="仿宋_GB2312"/>
                <w:sz w:val="24"/>
                <w:u w:val="none"/>
              </w:rPr>
              <w:t>成果简介：</w:t>
            </w:r>
          </w:p>
          <w:p w14:paraId="123FC6D2">
            <w:pPr>
              <w:adjustRightInd w:val="0"/>
              <w:snapToGrid w:val="0"/>
              <w:ind w:firstLine="514" w:firstLineChars="200"/>
              <w:rPr>
                <w:rFonts w:hint="eastAsia" w:ascii="仿宋_GB2312" w:hAnsi="仿宋_GB2312" w:eastAsia="仿宋_GB2312" w:cs="仿宋_GB2312"/>
                <w:sz w:val="24"/>
                <w:u w:val="none"/>
              </w:rPr>
            </w:pPr>
            <w:r>
              <w:rPr>
                <w:rFonts w:hint="eastAsia" w:ascii="仿宋_GB2312" w:hAnsi="仿宋_GB2312" w:eastAsia="仿宋_GB2312" w:cs="仿宋_GB2312"/>
                <w:sz w:val="24"/>
                <w:u w:val="none"/>
              </w:rPr>
              <w:t>本成果针对福建省锦纶产业大省地位及高端功能锦纶依赖进口（年进口超20亿元）的现状，突破传统后整理功能化方式存在的助剂用量大、耗水多、污染重、耐久性差等难题。通过研发微量高效纺织功能助剂及母粒静电纺/熔融纺技术，在前纺工序实现锦纶功能化，大幅降低助剂载量、缩短流程、减少排放，实现绿色生产。</w:t>
            </w:r>
          </w:p>
          <w:p w14:paraId="59866704"/>
          <w:p w14:paraId="1893964B">
            <w:pPr>
              <w:adjustRightInd w:val="0"/>
              <w:snapToGrid w:val="0"/>
              <w:ind w:firstLine="514" w:firstLineChars="200"/>
              <w:rPr>
                <w:rFonts w:hint="eastAsia" w:ascii="仿宋_GB2312" w:hAnsi="仿宋_GB2312" w:eastAsia="仿宋_GB2312" w:cs="仿宋_GB2312"/>
                <w:sz w:val="24"/>
                <w:u w:val="none"/>
              </w:rPr>
            </w:pPr>
            <w:r>
              <w:rPr>
                <w:rFonts w:hint="eastAsia" w:ascii="仿宋_GB2312" w:hAnsi="仿宋_GB2312" w:eastAsia="仿宋_GB2312" w:cs="仿宋_GB2312"/>
                <w:sz w:val="24"/>
                <w:u w:val="none"/>
                <w:lang w:eastAsia="zh-CN"/>
              </w:rPr>
              <w:t>（一）</w:t>
            </w:r>
            <w:r>
              <w:rPr>
                <w:rFonts w:hint="eastAsia" w:ascii="仿宋_GB2312" w:hAnsi="仿宋_GB2312" w:eastAsia="仿宋_GB2312" w:cs="仿宋_GB2312"/>
                <w:sz w:val="24"/>
                <w:u w:val="none"/>
              </w:rPr>
              <w:t>国内外相关技术研究开发现状和发展趋势：</w:t>
            </w:r>
          </w:p>
          <w:p w14:paraId="77E7C404">
            <w:pPr>
              <w:adjustRightInd w:val="0"/>
              <w:snapToGrid w:val="0"/>
              <w:rPr>
                <w:rFonts w:hint="eastAsia" w:ascii="仿宋_GB2312" w:hAnsi="仿宋_GB2312" w:eastAsia="仿宋_GB2312" w:cs="仿宋_GB2312"/>
                <w:sz w:val="24"/>
                <w:u w:val="none"/>
              </w:rPr>
            </w:pPr>
            <w:r>
              <w:rPr>
                <w:rFonts w:hint="eastAsia" w:ascii="仿宋_GB2312" w:hAnsi="仿宋_GB2312" w:eastAsia="仿宋_GB2312" w:cs="仿宋_GB2312"/>
                <w:sz w:val="24"/>
                <w:u w:val="none"/>
              </w:rPr>
              <w:t>当前国内外实现锦纶功能化主要依靠后整理（结合弱、耗水能、易板结）。未来功能性新材料领域加速向低掺比、高功效、多功能集成，并兼顾舒适性的绿色清洁化加工方向演进，本项目历经10年原始创新，形成功能性强、安全健康的新型绿色智能化生产路径</w:t>
            </w:r>
            <w:r>
              <w:rPr>
                <w:rFonts w:hint="eastAsia" w:ascii="仿宋_GB2312" w:hAnsi="仿宋_GB2312" w:eastAsia="仿宋_GB2312" w:cs="仿宋_GB2312"/>
                <w:sz w:val="24"/>
                <w:u w:val="none"/>
                <w:lang w:eastAsia="zh-CN"/>
              </w:rPr>
              <w:t>，</w:t>
            </w:r>
            <w:r>
              <w:rPr>
                <w:rFonts w:hint="eastAsia" w:ascii="仿宋_GB2312" w:hAnsi="仿宋_GB2312" w:eastAsia="仿宋_GB2312" w:cs="仿宋_GB2312"/>
                <w:sz w:val="24"/>
                <w:u w:val="none"/>
              </w:rPr>
              <w:t>技术</w:t>
            </w:r>
            <w:r>
              <w:rPr>
                <w:rFonts w:hint="eastAsia" w:ascii="仿宋_GB2312" w:hAnsi="仿宋_GB2312" w:eastAsia="仿宋_GB2312" w:cs="仿宋_GB2312"/>
                <w:sz w:val="24"/>
                <w:u w:val="none"/>
                <w:lang w:eastAsia="zh-CN"/>
              </w:rPr>
              <w:t>先进</w:t>
            </w:r>
            <w:r>
              <w:rPr>
                <w:rFonts w:hint="eastAsia" w:ascii="仿宋_GB2312" w:hAnsi="仿宋_GB2312" w:eastAsia="仿宋_GB2312" w:cs="仿宋_GB2312"/>
                <w:sz w:val="24"/>
                <w:u w:val="none"/>
              </w:rPr>
              <w:t>。</w:t>
            </w:r>
          </w:p>
          <w:p w14:paraId="73517CC7">
            <w:pPr>
              <w:adjustRightInd w:val="0"/>
              <w:snapToGrid w:val="0"/>
              <w:ind w:firstLine="514" w:firstLineChars="200"/>
              <w:rPr>
                <w:rFonts w:hint="eastAsia" w:ascii="仿宋_GB2312" w:hAnsi="仿宋_GB2312" w:eastAsia="仿宋_GB2312" w:cs="仿宋_GB2312"/>
                <w:sz w:val="24"/>
                <w:u w:val="none"/>
              </w:rPr>
            </w:pPr>
            <w:r>
              <w:rPr>
                <w:rFonts w:hint="eastAsia" w:ascii="仿宋_GB2312" w:hAnsi="仿宋_GB2312" w:eastAsia="仿宋_GB2312" w:cs="仿宋_GB2312"/>
                <w:sz w:val="24"/>
                <w:u w:val="none"/>
                <w:lang w:eastAsia="zh-CN"/>
              </w:rPr>
              <w:t>（二）</w:t>
            </w:r>
            <w:r>
              <w:rPr>
                <w:rFonts w:hint="eastAsia" w:ascii="仿宋_GB2312" w:hAnsi="仿宋_GB2312" w:eastAsia="仿宋_GB2312" w:cs="仿宋_GB2312"/>
                <w:sz w:val="24"/>
                <w:u w:val="none"/>
              </w:rPr>
              <w:t>技术成熟度：</w:t>
            </w:r>
          </w:p>
          <w:p w14:paraId="0C4702CE">
            <w:pPr>
              <w:adjustRightInd w:val="0"/>
              <w:snapToGrid w:val="0"/>
              <w:rPr>
                <w:rFonts w:hint="eastAsia" w:ascii="仿宋_GB2312" w:hAnsi="仿宋_GB2312" w:eastAsia="仿宋_GB2312" w:cs="仿宋_GB2312"/>
                <w:sz w:val="24"/>
                <w:u w:val="none"/>
              </w:rPr>
            </w:pPr>
            <w:r>
              <w:rPr>
                <w:rFonts w:hint="eastAsia" w:ascii="仿宋_GB2312" w:hAnsi="仿宋_GB2312" w:eastAsia="仿宋_GB2312" w:cs="仿宋_GB2312"/>
                <w:sz w:val="24"/>
                <w:u w:val="none"/>
              </w:rPr>
              <w:t>本成果处于产业化量产与示范推广阶段。核心前置技术已获</w:t>
            </w:r>
            <w:r>
              <w:rPr>
                <w:rFonts w:hint="eastAsia" w:ascii="仿宋_GB2312" w:hAnsi="仿宋_GB2312" w:eastAsia="仿宋_GB2312" w:cs="仿宋_GB2312"/>
                <w:sz w:val="24"/>
                <w:u w:val="none"/>
                <w:lang w:eastAsia="zh-CN"/>
              </w:rPr>
              <w:t>国家技术发明奖二等奖</w:t>
            </w:r>
            <w:r>
              <w:rPr>
                <w:rFonts w:hint="eastAsia" w:ascii="仿宋_GB2312" w:hAnsi="仿宋_GB2312" w:eastAsia="仿宋_GB2312" w:cs="仿宋_GB2312"/>
                <w:sz w:val="24"/>
                <w:u w:val="none"/>
              </w:rPr>
              <w:t>1项及省部级奖2项，发表论文50余篇，授权专利10余项，具备全链条产业化条件。</w:t>
            </w:r>
          </w:p>
          <w:p w14:paraId="721E8E58">
            <w:pPr>
              <w:adjustRightInd w:val="0"/>
              <w:snapToGrid w:val="0"/>
              <w:ind w:firstLine="514" w:firstLineChars="200"/>
              <w:rPr>
                <w:rFonts w:hint="eastAsia" w:ascii="仿宋_GB2312" w:hAnsi="仿宋_GB2312" w:eastAsia="仿宋_GB2312" w:cs="仿宋_GB2312"/>
                <w:sz w:val="24"/>
                <w:u w:val="none"/>
              </w:rPr>
            </w:pPr>
            <w:r>
              <w:rPr>
                <w:rFonts w:hint="eastAsia" w:ascii="仿宋_GB2312" w:hAnsi="仿宋_GB2312" w:eastAsia="仿宋_GB2312" w:cs="仿宋_GB2312"/>
                <w:sz w:val="24"/>
                <w:u w:val="none"/>
                <w:lang w:eastAsia="zh-CN"/>
              </w:rPr>
              <w:t>（三）</w:t>
            </w:r>
            <w:r>
              <w:rPr>
                <w:rFonts w:hint="eastAsia" w:ascii="仿宋_GB2312" w:hAnsi="仿宋_GB2312" w:eastAsia="仿宋_GB2312" w:cs="仿宋_GB2312"/>
                <w:sz w:val="24"/>
                <w:u w:val="none"/>
              </w:rPr>
              <w:t>解决的关键技术问题：</w:t>
            </w:r>
          </w:p>
          <w:p w14:paraId="44B56009">
            <w:pPr>
              <w:adjustRightInd w:val="0"/>
              <w:snapToGrid w:val="0"/>
              <w:rPr>
                <w:rFonts w:hint="eastAsia" w:ascii="仿宋_GB2312" w:hAnsi="仿宋_GB2312" w:eastAsia="仿宋_GB2312" w:cs="仿宋_GB2312"/>
                <w:sz w:val="24"/>
                <w:u w:val="none"/>
              </w:rPr>
            </w:pPr>
            <w:r>
              <w:rPr>
                <w:rFonts w:hint="eastAsia" w:ascii="仿宋_GB2312" w:hAnsi="仿宋_GB2312" w:eastAsia="仿宋_GB2312" w:cs="仿宋_GB2312"/>
                <w:sz w:val="24"/>
                <w:u w:val="none"/>
              </w:rPr>
              <w:t>纳米纤维和助剂凭借超大比表面积，能使微量功能基团的利用效率几何级提升，但自身存在产量低、结合难的问题。若将其与传统纤维进行跨尺度复合（线密度差异达1万倍），可大幅减少助剂用量、提升效能，且不影响服用舒适性，这需突破现有工艺与装备限制。本成果团队经十余年攻关，主持国家级科研项目40余项，成功突破“高曲率液面静电纺非织造材料宏量制备”技术，获2020年国家技术发明二等奖。在此基础上再造纺纱流程，引入纳米复合技术，开创跨尺度纺织新方法。当抗菌纳米纤维掺比小于1%时，织物对大肠杆菌和金黄色葡萄球菌的抑菌率≥99%，同时增加柔软舒适度，颠覆性缩短制备流程，减少污染与碳排放，形成了中国首创的纳米复合镶嵌混纺技术链，推动传统纺织行业新型材料产业化发展。</w:t>
            </w:r>
          </w:p>
          <w:p w14:paraId="32E88B27">
            <w:pPr>
              <w:adjustRightInd w:val="0"/>
              <w:snapToGrid w:val="0"/>
              <w:ind w:firstLine="514" w:firstLineChars="200"/>
              <w:rPr>
                <w:rFonts w:hint="eastAsia" w:ascii="仿宋_GB2312" w:hAnsi="仿宋_GB2312" w:eastAsia="仿宋_GB2312" w:cs="仿宋_GB2312"/>
                <w:sz w:val="24"/>
                <w:u w:val="none"/>
              </w:rPr>
            </w:pPr>
            <w:r>
              <w:rPr>
                <w:rFonts w:hint="eastAsia" w:ascii="仿宋_GB2312" w:hAnsi="仿宋_GB2312" w:eastAsia="仿宋_GB2312" w:cs="仿宋_GB2312"/>
                <w:sz w:val="24"/>
                <w:u w:val="none"/>
                <w:lang w:eastAsia="zh-CN"/>
              </w:rPr>
              <w:t>（四）</w:t>
            </w:r>
            <w:r>
              <w:rPr>
                <w:rFonts w:hint="eastAsia" w:ascii="仿宋_GB2312" w:hAnsi="仿宋_GB2312" w:eastAsia="仿宋_GB2312" w:cs="仿宋_GB2312"/>
                <w:sz w:val="24"/>
                <w:u w:val="none"/>
              </w:rPr>
              <w:t>主要创新点：</w:t>
            </w:r>
          </w:p>
          <w:p w14:paraId="5FD73F85">
            <w:pPr>
              <w:adjustRightInd w:val="0"/>
              <w:snapToGrid w:val="0"/>
              <w:ind w:firstLine="514" w:firstLineChars="200"/>
              <w:rPr>
                <w:rFonts w:hint="eastAsia" w:ascii="仿宋_GB2312" w:hAnsi="仿宋_GB2312" w:eastAsia="仿宋_GB2312" w:cs="仿宋_GB2312"/>
                <w:sz w:val="24"/>
                <w:u w:val="none"/>
              </w:rPr>
            </w:pPr>
            <w:r>
              <w:rPr>
                <w:rFonts w:hint="eastAsia" w:ascii="仿宋_GB2312" w:hAnsi="仿宋_GB2312" w:eastAsia="仿宋_GB2312" w:cs="仿宋_GB2312"/>
                <w:sz w:val="24"/>
                <w:u w:val="none"/>
              </w:rPr>
              <w:t>（1）开创性地将纳米助剂和纳米纤维与线密度差异达1万倍的常规锦纶长丝进行跨尺度复合，突破了现有工艺与装备限制。</w:t>
            </w:r>
          </w:p>
          <w:p w14:paraId="09BC0149">
            <w:pPr>
              <w:adjustRightInd w:val="0"/>
              <w:snapToGrid w:val="0"/>
              <w:ind w:firstLine="514" w:firstLineChars="200"/>
              <w:rPr>
                <w:rFonts w:hint="eastAsia" w:ascii="仿宋_GB2312" w:hAnsi="仿宋_GB2312" w:eastAsia="仿宋_GB2312" w:cs="仿宋_GB2312"/>
                <w:sz w:val="24"/>
                <w:u w:val="none"/>
              </w:rPr>
            </w:pPr>
            <w:r>
              <w:rPr>
                <w:rFonts w:hint="eastAsia" w:ascii="仿宋_GB2312" w:hAnsi="仿宋_GB2312" w:eastAsia="仿宋_GB2312" w:cs="仿宋_GB2312"/>
                <w:sz w:val="24"/>
                <w:u w:val="none"/>
              </w:rPr>
              <w:t>（2）以极低掺比的纳米助剂或纳米纤维即可高效实现吸湿、抑菌、防螨及上色功能，免除传统高耗水、高能耗的后整理工序，从源头切断化学功能后整理和印染污染。</w:t>
            </w:r>
          </w:p>
          <w:p w14:paraId="46C3EB31">
            <w:pPr>
              <w:adjustRightInd w:val="0"/>
              <w:snapToGrid w:val="0"/>
              <w:ind w:firstLine="514" w:firstLineChars="200"/>
              <w:rPr>
                <w:rFonts w:hint="eastAsia" w:ascii="仿宋_GB2312" w:hAnsi="仿宋_GB2312" w:eastAsia="仿宋_GB2312" w:cs="仿宋_GB2312"/>
                <w:sz w:val="24"/>
                <w:u w:val="none"/>
              </w:rPr>
            </w:pPr>
            <w:r>
              <w:rPr>
                <w:rFonts w:hint="eastAsia" w:ascii="仿宋_GB2312" w:hAnsi="仿宋_GB2312" w:eastAsia="仿宋_GB2312" w:cs="仿宋_GB2312"/>
                <w:sz w:val="24"/>
                <w:u w:val="none"/>
              </w:rPr>
              <w:t>（3）开发了全套新型技术装备，实现新技术的国产化和智能化生产。</w:t>
            </w:r>
          </w:p>
          <w:p w14:paraId="411C803F">
            <w:pPr>
              <w:adjustRightInd w:val="0"/>
              <w:snapToGrid w:val="0"/>
              <w:ind w:firstLine="514" w:firstLineChars="200"/>
              <w:rPr>
                <w:rFonts w:hint="eastAsia" w:ascii="仿宋_GB2312" w:hAnsi="仿宋_GB2312" w:eastAsia="仿宋_GB2312" w:cs="仿宋_GB2312"/>
                <w:sz w:val="24"/>
                <w:u w:val="none"/>
              </w:rPr>
            </w:pPr>
            <w:r>
              <w:rPr>
                <w:rFonts w:hint="eastAsia" w:ascii="仿宋_GB2312" w:hAnsi="仿宋_GB2312" w:eastAsia="仿宋_GB2312" w:cs="仿宋_GB2312"/>
                <w:sz w:val="24"/>
                <w:u w:val="none"/>
                <w:lang w:eastAsia="zh-CN"/>
              </w:rPr>
              <w:t>（五）</w:t>
            </w:r>
            <w:r>
              <w:rPr>
                <w:rFonts w:hint="eastAsia" w:ascii="仿宋_GB2312" w:hAnsi="仿宋_GB2312" w:eastAsia="仿宋_GB2312" w:cs="仿宋_GB2312"/>
                <w:sz w:val="24"/>
                <w:u w:val="none"/>
              </w:rPr>
              <w:t>关键技术指标：</w:t>
            </w:r>
          </w:p>
          <w:p w14:paraId="7E5CD9EB">
            <w:pPr>
              <w:adjustRightInd w:val="0"/>
              <w:snapToGrid w:val="0"/>
              <w:rPr>
                <w:rFonts w:hint="eastAsia" w:ascii="仿宋_GB2312" w:hAnsi="仿宋_GB2312" w:eastAsia="仿宋_GB2312" w:cs="仿宋_GB2312"/>
                <w:sz w:val="24"/>
                <w:u w:val="none"/>
              </w:rPr>
            </w:pPr>
            <w:r>
              <w:rPr>
                <w:rFonts w:hint="eastAsia" w:ascii="仿宋_GB2312" w:hAnsi="仿宋_GB2312" w:eastAsia="仿宋_GB2312" w:cs="仿宋_GB2312"/>
                <w:sz w:val="24"/>
                <w:u w:val="none"/>
              </w:rPr>
              <w:t>纳米纤维掺比&lt;1%；织物对大肠杆菌、金黄色葡萄球菌等抑菌率≥99%；螨虫驱避率≥80%；实现高效无染上色，染料利用率&gt;90%；各项亲肤安全性指标优于传统后整理产品。</w:t>
            </w:r>
          </w:p>
          <w:p w14:paraId="391A2FEB">
            <w:pPr>
              <w:adjustRightInd w:val="0"/>
              <w:snapToGrid w:val="0"/>
              <w:ind w:firstLine="514" w:firstLineChars="200"/>
              <w:rPr>
                <w:rFonts w:hint="eastAsia" w:ascii="仿宋_GB2312" w:hAnsi="仿宋_GB2312" w:eastAsia="仿宋_GB2312" w:cs="仿宋_GB2312"/>
                <w:sz w:val="24"/>
                <w:u w:val="none"/>
              </w:rPr>
            </w:pPr>
            <w:r>
              <w:rPr>
                <w:rFonts w:hint="eastAsia" w:ascii="仿宋_GB2312" w:hAnsi="仿宋_GB2312" w:eastAsia="仿宋_GB2312" w:cs="仿宋_GB2312"/>
                <w:sz w:val="24"/>
                <w:u w:val="none"/>
                <w:lang w:eastAsia="zh-CN"/>
              </w:rPr>
              <w:t>（六）</w:t>
            </w:r>
            <w:r>
              <w:rPr>
                <w:rFonts w:hint="eastAsia" w:ascii="仿宋_GB2312" w:hAnsi="仿宋_GB2312" w:eastAsia="仿宋_GB2312" w:cs="仿宋_GB2312"/>
                <w:sz w:val="24"/>
                <w:u w:val="none"/>
              </w:rPr>
              <w:t>技术优势：</w:t>
            </w:r>
          </w:p>
          <w:p w14:paraId="69B6A3CC">
            <w:pPr>
              <w:adjustRightInd w:val="0"/>
              <w:snapToGrid w:val="0"/>
              <w:ind w:left="505" w:leftChars="150" w:firstLine="0" w:firstLineChars="0"/>
              <w:rPr>
                <w:rFonts w:hint="eastAsia" w:ascii="仿宋_GB2312" w:hAnsi="仿宋_GB2312" w:eastAsia="仿宋_GB2312" w:cs="仿宋_GB2312"/>
                <w:sz w:val="24"/>
                <w:u w:val="none"/>
              </w:rPr>
            </w:pPr>
            <w:r>
              <w:rPr>
                <w:rFonts w:hint="eastAsia" w:ascii="仿宋_GB2312" w:hAnsi="仿宋_GB2312" w:eastAsia="仿宋_GB2312" w:cs="仿宋_GB2312"/>
                <w:sz w:val="24"/>
                <w:u w:val="none"/>
              </w:rPr>
              <w:t>（1）绿色低碳：大幅缩短加工流程，规避后整理和印染高污染；</w:t>
            </w:r>
          </w:p>
          <w:p w14:paraId="17C2E174">
            <w:pPr>
              <w:adjustRightInd w:val="0"/>
              <w:snapToGrid w:val="0"/>
              <w:ind w:left="0" w:leftChars="0" w:firstLine="514" w:firstLineChars="200"/>
              <w:rPr>
                <w:rFonts w:hint="eastAsia" w:ascii="仿宋_GB2312" w:hAnsi="仿宋_GB2312" w:eastAsia="仿宋_GB2312" w:cs="仿宋_GB2312"/>
                <w:sz w:val="24"/>
                <w:u w:val="none"/>
              </w:rPr>
            </w:pPr>
            <w:r>
              <w:rPr>
                <w:rFonts w:hint="eastAsia" w:ascii="仿宋_GB2312" w:hAnsi="仿宋_GB2312" w:eastAsia="仿宋_GB2312" w:cs="仿宋_GB2312"/>
                <w:sz w:val="24"/>
                <w:u w:val="none"/>
              </w:rPr>
              <w:t>（2）高效安全：利用纳米助剂和纳米纤维超大比表面积，使微量功能基团效能几何倍数放大，消除潜在健康风险；</w:t>
            </w:r>
          </w:p>
          <w:p w14:paraId="65C62AEF">
            <w:pPr>
              <w:adjustRightInd w:val="0"/>
              <w:snapToGrid w:val="0"/>
              <w:ind w:left="0" w:leftChars="0" w:firstLine="514" w:firstLineChars="200"/>
              <w:rPr>
                <w:rFonts w:hint="eastAsia" w:ascii="仿宋_GB2312" w:hAnsi="仿宋_GB2312" w:eastAsia="仿宋_GB2312" w:cs="仿宋_GB2312"/>
                <w:sz w:val="24"/>
                <w:szCs w:val="24"/>
                <w:u w:val="none"/>
              </w:rPr>
            </w:pPr>
            <w:r>
              <w:rPr>
                <w:rFonts w:hint="eastAsia" w:ascii="仿宋_GB2312" w:hAnsi="仿宋_GB2312" w:eastAsia="仿宋_GB2312" w:cs="仿宋_GB2312"/>
                <w:sz w:val="24"/>
                <w:u w:val="none"/>
              </w:rPr>
              <w:t>（3）优异触感：完全保留甚至提升锦纶面料原有的柔软亲肤性。</w:t>
            </w:r>
          </w:p>
        </w:tc>
      </w:tr>
      <w:tr w14:paraId="478930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3637" w:hRule="atLeast"/>
          <w:jc w:val="center"/>
        </w:trPr>
        <w:tc>
          <w:tcPr>
            <w:tcW w:w="1039" w:type="dxa"/>
            <w:shd w:val="clear" w:color="auto" w:fill="FFFFFF"/>
            <w:noWrap w:val="0"/>
            <w:vAlign w:val="center"/>
          </w:tcPr>
          <w:p w14:paraId="70CFA2AD">
            <w:pPr>
              <w:adjustRightInd w:val="0"/>
              <w:snapToGrid w:val="0"/>
              <w:spacing w:line="240" w:lineRule="auto"/>
              <w:jc w:val="center"/>
              <w:rPr>
                <w:rFonts w:hint="eastAsia" w:ascii="仿宋_GB2312" w:hAnsi="仿宋_GB2312" w:eastAsia="仿宋_GB2312" w:cs="仿宋_GB2312"/>
                <w:sz w:val="24"/>
                <w:u w:val="none"/>
              </w:rPr>
            </w:pPr>
            <w:r>
              <w:rPr>
                <w:rFonts w:hint="eastAsia" w:ascii="仿宋_GB2312" w:hAnsi="仿宋_GB2312" w:eastAsia="仿宋_GB2312" w:cs="仿宋_GB2312"/>
                <w:sz w:val="24"/>
                <w:u w:val="none"/>
              </w:rPr>
              <w:t>知识产权情况</w:t>
            </w:r>
          </w:p>
        </w:tc>
        <w:tc>
          <w:tcPr>
            <w:tcW w:w="7926" w:type="dxa"/>
            <w:gridSpan w:val="4"/>
            <w:shd w:val="clear" w:color="auto" w:fill="FFFFFF"/>
            <w:noWrap w:val="0"/>
            <w:vAlign w:val="center"/>
          </w:tcPr>
          <w:p w14:paraId="6C34F86D">
            <w:pPr>
              <w:pStyle w:val="11"/>
              <w:spacing w:line="240" w:lineRule="auto"/>
              <w:ind w:firstLine="480"/>
              <w:rPr>
                <w:rFonts w:hint="eastAsia" w:ascii="仿宋_GB2312" w:hAnsi="仿宋_GB2312" w:eastAsia="仿宋_GB2312" w:cs="仿宋_GB2312"/>
                <w:sz w:val="24"/>
                <w:szCs w:val="24"/>
                <w:u w:val="none"/>
              </w:rPr>
            </w:pP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8"/>
              <w:gridCol w:w="1404"/>
              <w:gridCol w:w="970"/>
              <w:gridCol w:w="1261"/>
              <w:gridCol w:w="1173"/>
              <w:gridCol w:w="1068"/>
              <w:gridCol w:w="1308"/>
            </w:tblGrid>
            <w:tr w14:paraId="686FE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18" w:type="dxa"/>
                  <w:noWrap w:val="0"/>
                  <w:vAlign w:val="center"/>
                </w:tcPr>
                <w:p w14:paraId="6D49BB22">
                  <w:pPr>
                    <w:spacing w:line="400" w:lineRule="exact"/>
                    <w:jc w:val="center"/>
                    <w:rPr>
                      <w:rFonts w:hint="eastAsia" w:ascii="仿宋_GB2312" w:hAnsi="仿宋_GB2312" w:eastAsia="仿宋_GB2312" w:cs="仿宋_GB2312"/>
                      <w:b/>
                      <w:bCs/>
                      <w:kern w:val="0"/>
                      <w:sz w:val="24"/>
                      <w:szCs w:val="24"/>
                      <w:u w:val="none"/>
                      <w:lang w:val="zh-CN"/>
                    </w:rPr>
                  </w:pPr>
                  <w:r>
                    <w:rPr>
                      <w:rFonts w:hint="eastAsia" w:ascii="仿宋_GB2312" w:hAnsi="仿宋_GB2312" w:eastAsia="仿宋_GB2312" w:cs="仿宋_GB2312"/>
                      <w:b/>
                      <w:bCs/>
                      <w:kern w:val="0"/>
                      <w:sz w:val="24"/>
                      <w:szCs w:val="24"/>
                      <w:u w:val="none"/>
                      <w:lang w:val="zh-CN"/>
                    </w:rPr>
                    <w:t>序号</w:t>
                  </w:r>
                </w:p>
              </w:tc>
              <w:tc>
                <w:tcPr>
                  <w:tcW w:w="1404" w:type="dxa"/>
                  <w:noWrap w:val="0"/>
                  <w:vAlign w:val="center"/>
                </w:tcPr>
                <w:p w14:paraId="1AE76447">
                  <w:pPr>
                    <w:spacing w:line="400" w:lineRule="exact"/>
                    <w:jc w:val="center"/>
                    <w:rPr>
                      <w:rFonts w:hint="eastAsia" w:ascii="仿宋_GB2312" w:hAnsi="仿宋_GB2312" w:eastAsia="仿宋_GB2312" w:cs="仿宋_GB2312"/>
                      <w:b/>
                      <w:bCs/>
                      <w:kern w:val="0"/>
                      <w:sz w:val="24"/>
                      <w:szCs w:val="24"/>
                      <w:u w:val="none"/>
                    </w:rPr>
                  </w:pPr>
                  <w:r>
                    <w:rPr>
                      <w:rFonts w:hint="eastAsia" w:ascii="仿宋_GB2312" w:hAnsi="仿宋_GB2312" w:eastAsia="仿宋_GB2312" w:cs="仿宋_GB2312"/>
                      <w:b/>
                      <w:bCs/>
                      <w:kern w:val="0"/>
                      <w:sz w:val="24"/>
                      <w:szCs w:val="24"/>
                      <w:u w:val="none"/>
                    </w:rPr>
                    <w:t>专利名称</w:t>
                  </w:r>
                </w:p>
              </w:tc>
              <w:tc>
                <w:tcPr>
                  <w:tcW w:w="970" w:type="dxa"/>
                  <w:noWrap w:val="0"/>
                  <w:vAlign w:val="center"/>
                </w:tcPr>
                <w:p w14:paraId="38C6D7C5">
                  <w:pPr>
                    <w:spacing w:line="400" w:lineRule="exact"/>
                    <w:jc w:val="center"/>
                    <w:rPr>
                      <w:rFonts w:hint="eastAsia" w:ascii="仿宋_GB2312" w:hAnsi="仿宋_GB2312" w:eastAsia="仿宋_GB2312" w:cs="仿宋_GB2312"/>
                      <w:b/>
                      <w:bCs/>
                      <w:kern w:val="0"/>
                      <w:sz w:val="24"/>
                      <w:szCs w:val="24"/>
                      <w:u w:val="none"/>
                      <w:lang w:val="zh-CN"/>
                    </w:rPr>
                  </w:pPr>
                  <w:r>
                    <w:rPr>
                      <w:rFonts w:hint="eastAsia" w:ascii="仿宋_GB2312" w:hAnsi="仿宋_GB2312" w:eastAsia="仿宋_GB2312" w:cs="仿宋_GB2312"/>
                      <w:b/>
                      <w:bCs/>
                      <w:kern w:val="0"/>
                      <w:sz w:val="24"/>
                      <w:szCs w:val="24"/>
                      <w:u w:val="none"/>
                      <w:lang w:val="zh-CN"/>
                    </w:rPr>
                    <w:t>类型</w:t>
                  </w:r>
                </w:p>
              </w:tc>
              <w:tc>
                <w:tcPr>
                  <w:tcW w:w="1261" w:type="dxa"/>
                  <w:noWrap w:val="0"/>
                  <w:vAlign w:val="center"/>
                </w:tcPr>
                <w:p w14:paraId="089C1E38">
                  <w:pPr>
                    <w:spacing w:line="400" w:lineRule="exact"/>
                    <w:ind w:firstLine="0" w:firstLineChars="0"/>
                    <w:jc w:val="left"/>
                    <w:rPr>
                      <w:rFonts w:hint="eastAsia" w:ascii="仿宋_GB2312" w:hAnsi="仿宋_GB2312" w:eastAsia="仿宋_GB2312" w:cs="仿宋_GB2312"/>
                      <w:b/>
                      <w:bCs/>
                      <w:kern w:val="0"/>
                      <w:sz w:val="24"/>
                      <w:szCs w:val="24"/>
                      <w:u w:val="none"/>
                    </w:rPr>
                  </w:pPr>
                  <w:r>
                    <w:rPr>
                      <w:rFonts w:hint="eastAsia" w:ascii="仿宋_GB2312" w:hAnsi="仿宋_GB2312" w:eastAsia="仿宋_GB2312" w:cs="仿宋_GB2312"/>
                      <w:b/>
                      <w:bCs/>
                      <w:kern w:val="0"/>
                      <w:sz w:val="24"/>
                      <w:szCs w:val="24"/>
                      <w:u w:val="none"/>
                    </w:rPr>
                    <w:t>申请号/</w:t>
                  </w:r>
                </w:p>
                <w:p w14:paraId="3C18DA9F">
                  <w:pPr>
                    <w:spacing w:line="400" w:lineRule="exact"/>
                    <w:ind w:firstLine="0" w:firstLineChars="0"/>
                    <w:jc w:val="left"/>
                    <w:rPr>
                      <w:rFonts w:hint="eastAsia" w:ascii="仿宋_GB2312" w:hAnsi="仿宋_GB2312" w:eastAsia="仿宋_GB2312" w:cs="仿宋_GB2312"/>
                      <w:b/>
                      <w:bCs/>
                      <w:kern w:val="0"/>
                      <w:sz w:val="24"/>
                      <w:szCs w:val="24"/>
                      <w:u w:val="none"/>
                    </w:rPr>
                  </w:pPr>
                  <w:r>
                    <w:rPr>
                      <w:rFonts w:hint="eastAsia" w:ascii="仿宋_GB2312" w:hAnsi="仿宋_GB2312" w:eastAsia="仿宋_GB2312" w:cs="仿宋_GB2312"/>
                      <w:b/>
                      <w:bCs/>
                      <w:kern w:val="0"/>
                      <w:sz w:val="24"/>
                      <w:szCs w:val="24"/>
                      <w:u w:val="none"/>
                    </w:rPr>
                    <w:t>授权号</w:t>
                  </w:r>
                </w:p>
              </w:tc>
              <w:tc>
                <w:tcPr>
                  <w:tcW w:w="1173" w:type="dxa"/>
                  <w:noWrap w:val="0"/>
                  <w:vAlign w:val="center"/>
                </w:tcPr>
                <w:p w14:paraId="5E079166">
                  <w:pPr>
                    <w:spacing w:line="400" w:lineRule="exact"/>
                    <w:ind w:firstLine="0" w:firstLineChars="0"/>
                    <w:jc w:val="left"/>
                    <w:rPr>
                      <w:rFonts w:hint="eastAsia" w:ascii="仿宋_GB2312" w:hAnsi="仿宋_GB2312" w:eastAsia="仿宋_GB2312" w:cs="仿宋_GB2312"/>
                      <w:b/>
                      <w:bCs/>
                      <w:kern w:val="0"/>
                      <w:sz w:val="24"/>
                      <w:szCs w:val="24"/>
                      <w:u w:val="none"/>
                      <w:lang w:val="zh-CN"/>
                    </w:rPr>
                  </w:pPr>
                  <w:r>
                    <w:rPr>
                      <w:rFonts w:hint="eastAsia" w:ascii="仿宋_GB2312" w:hAnsi="仿宋_GB2312" w:eastAsia="仿宋_GB2312" w:cs="仿宋_GB2312"/>
                      <w:b/>
                      <w:bCs/>
                      <w:kern w:val="0"/>
                      <w:sz w:val="24"/>
                      <w:szCs w:val="24"/>
                      <w:u w:val="none"/>
                    </w:rPr>
                    <w:t>申请日期/</w:t>
                  </w:r>
                  <w:r>
                    <w:rPr>
                      <w:rFonts w:hint="eastAsia" w:ascii="仿宋_GB2312" w:hAnsi="仿宋_GB2312" w:eastAsia="仿宋_GB2312" w:cs="仿宋_GB2312"/>
                      <w:b/>
                      <w:bCs/>
                      <w:kern w:val="0"/>
                      <w:sz w:val="24"/>
                      <w:szCs w:val="24"/>
                      <w:u w:val="none"/>
                      <w:lang w:val="zh-CN"/>
                    </w:rPr>
                    <w:t>授权日期</w:t>
                  </w:r>
                </w:p>
              </w:tc>
              <w:tc>
                <w:tcPr>
                  <w:tcW w:w="1068" w:type="dxa"/>
                  <w:noWrap w:val="0"/>
                  <w:vAlign w:val="center"/>
                </w:tcPr>
                <w:p w14:paraId="3B49C00E">
                  <w:pPr>
                    <w:spacing w:line="400" w:lineRule="exact"/>
                    <w:jc w:val="center"/>
                    <w:rPr>
                      <w:rFonts w:hint="eastAsia" w:ascii="仿宋_GB2312" w:hAnsi="仿宋_GB2312" w:eastAsia="仿宋_GB2312" w:cs="仿宋_GB2312"/>
                      <w:b/>
                      <w:bCs/>
                      <w:kern w:val="0"/>
                      <w:sz w:val="24"/>
                      <w:szCs w:val="24"/>
                      <w:u w:val="none"/>
                    </w:rPr>
                  </w:pPr>
                  <w:r>
                    <w:rPr>
                      <w:rFonts w:hint="eastAsia" w:ascii="仿宋_GB2312" w:hAnsi="仿宋_GB2312" w:eastAsia="仿宋_GB2312" w:cs="仿宋_GB2312"/>
                      <w:b/>
                      <w:bCs/>
                      <w:kern w:val="0"/>
                      <w:sz w:val="24"/>
                      <w:szCs w:val="24"/>
                      <w:u w:val="none"/>
                    </w:rPr>
                    <w:t>专利</w:t>
                  </w:r>
                </w:p>
                <w:p w14:paraId="5400E04A">
                  <w:pPr>
                    <w:spacing w:line="400" w:lineRule="exact"/>
                    <w:jc w:val="center"/>
                    <w:rPr>
                      <w:rFonts w:hint="eastAsia" w:ascii="仿宋_GB2312" w:hAnsi="仿宋_GB2312" w:eastAsia="仿宋_GB2312" w:cs="仿宋_GB2312"/>
                      <w:b/>
                      <w:bCs/>
                      <w:kern w:val="0"/>
                      <w:sz w:val="24"/>
                      <w:szCs w:val="24"/>
                      <w:u w:val="none"/>
                    </w:rPr>
                  </w:pPr>
                  <w:r>
                    <w:rPr>
                      <w:rFonts w:hint="eastAsia" w:ascii="仿宋_GB2312" w:hAnsi="仿宋_GB2312" w:eastAsia="仿宋_GB2312" w:cs="仿宋_GB2312"/>
                      <w:b/>
                      <w:bCs/>
                      <w:kern w:val="0"/>
                      <w:sz w:val="24"/>
                      <w:szCs w:val="24"/>
                      <w:u w:val="none"/>
                    </w:rPr>
                    <w:t>权人</w:t>
                  </w:r>
                </w:p>
              </w:tc>
              <w:tc>
                <w:tcPr>
                  <w:tcW w:w="1308" w:type="dxa"/>
                  <w:noWrap w:val="0"/>
                  <w:vAlign w:val="center"/>
                </w:tcPr>
                <w:p w14:paraId="41AC78B9">
                  <w:pPr>
                    <w:spacing w:line="400" w:lineRule="exact"/>
                    <w:jc w:val="center"/>
                    <w:rPr>
                      <w:rFonts w:hint="eastAsia" w:ascii="仿宋_GB2312" w:hAnsi="仿宋_GB2312" w:eastAsia="仿宋_GB2312" w:cs="仿宋_GB2312"/>
                      <w:b/>
                      <w:bCs/>
                      <w:kern w:val="0"/>
                      <w:sz w:val="24"/>
                      <w:szCs w:val="24"/>
                      <w:u w:val="none"/>
                    </w:rPr>
                  </w:pPr>
                  <w:r>
                    <w:rPr>
                      <w:rFonts w:hint="eastAsia" w:ascii="仿宋_GB2312" w:hAnsi="仿宋_GB2312" w:eastAsia="仿宋_GB2312" w:cs="仿宋_GB2312"/>
                      <w:b/>
                      <w:bCs/>
                      <w:kern w:val="0"/>
                      <w:sz w:val="24"/>
                      <w:szCs w:val="24"/>
                      <w:u w:val="none"/>
                    </w:rPr>
                    <w:t>发明人</w:t>
                  </w:r>
                </w:p>
              </w:tc>
            </w:tr>
            <w:tr w14:paraId="57896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18" w:type="dxa"/>
                  <w:noWrap w:val="0"/>
                  <w:vAlign w:val="center"/>
                </w:tcPr>
                <w:p w14:paraId="083366C9">
                  <w:pPr>
                    <w:spacing w:line="240" w:lineRule="auto"/>
                    <w:jc w:val="center"/>
                    <w:rPr>
                      <w:rFonts w:hint="eastAsia" w:ascii="仿宋_GB2312" w:hAnsi="仿宋_GB2312" w:eastAsia="仿宋_GB2312" w:cs="仿宋_GB2312"/>
                      <w:kern w:val="0"/>
                      <w:sz w:val="24"/>
                      <w:szCs w:val="24"/>
                      <w:u w:val="none"/>
                      <w:lang w:val="zh-CN"/>
                    </w:rPr>
                  </w:pPr>
                  <w:r>
                    <w:rPr>
                      <w:rFonts w:hint="eastAsia" w:ascii="仿宋_GB2312" w:hAnsi="仿宋_GB2312" w:eastAsia="仿宋_GB2312" w:cs="仿宋_GB2312"/>
                      <w:kern w:val="0"/>
                      <w:sz w:val="24"/>
                      <w:szCs w:val="24"/>
                      <w:u w:val="none"/>
                      <w:lang w:val="zh-CN"/>
                    </w:rPr>
                    <w:t>1</w:t>
                  </w:r>
                </w:p>
              </w:tc>
              <w:tc>
                <w:tcPr>
                  <w:tcW w:w="1404" w:type="dxa"/>
                  <w:noWrap w:val="0"/>
                  <w:vAlign w:val="center"/>
                </w:tcPr>
                <w:p w14:paraId="3AD1D2A3">
                  <w:pPr>
                    <w:keepNext/>
                    <w:keepLines/>
                    <w:spacing w:line="400" w:lineRule="exact"/>
                    <w:jc w:val="center"/>
                    <w:rPr>
                      <w:rFonts w:hint="eastAsia" w:ascii="仿宋_GB2312" w:hAnsi="仿宋_GB2312" w:eastAsia="仿宋_GB2312" w:cs="仿宋_GB2312"/>
                      <w:kern w:val="0"/>
                      <w:sz w:val="24"/>
                      <w:szCs w:val="24"/>
                      <w:u w:val="none"/>
                      <w:lang w:val="zh-CN"/>
                    </w:rPr>
                  </w:pPr>
                  <w:r>
                    <w:rPr>
                      <w:rFonts w:hint="eastAsia" w:ascii="仿宋_GB2312" w:hAnsi="仿宋_GB2312" w:eastAsia="仿宋_GB2312" w:cs="仿宋_GB2312"/>
                      <w:kern w:val="0"/>
                      <w:sz w:val="24"/>
                      <w:szCs w:val="24"/>
                      <w:u w:val="none"/>
                      <w:lang w:val="zh-CN"/>
                    </w:rPr>
                    <w:t>一种纺丝液曲率动态控制的静电纺丝装置及其使用方法</w:t>
                  </w:r>
                </w:p>
              </w:tc>
              <w:tc>
                <w:tcPr>
                  <w:tcW w:w="970" w:type="dxa"/>
                  <w:noWrap w:val="0"/>
                  <w:vAlign w:val="center"/>
                </w:tcPr>
                <w:p w14:paraId="61472E73">
                  <w:pPr>
                    <w:keepNext/>
                    <w:keepLines/>
                    <w:spacing w:line="400" w:lineRule="exact"/>
                    <w:jc w:val="center"/>
                    <w:rPr>
                      <w:rFonts w:hint="eastAsia" w:ascii="仿宋_GB2312" w:hAnsi="仿宋_GB2312" w:eastAsia="仿宋_GB2312" w:cs="仿宋_GB2312"/>
                      <w:kern w:val="0"/>
                      <w:sz w:val="24"/>
                      <w:szCs w:val="24"/>
                      <w:u w:val="none"/>
                      <w:lang w:val="zh-CN"/>
                    </w:rPr>
                  </w:pPr>
                  <w:r>
                    <w:rPr>
                      <w:rFonts w:hint="eastAsia" w:ascii="仿宋_GB2312" w:hAnsi="仿宋_GB2312" w:eastAsia="仿宋_GB2312" w:cs="仿宋_GB2312"/>
                      <w:kern w:val="0"/>
                      <w:sz w:val="24"/>
                      <w:szCs w:val="24"/>
                      <w:u w:val="none"/>
                      <w:lang w:val="zh-CN"/>
                    </w:rPr>
                    <w:t>发明专利</w:t>
                  </w:r>
                </w:p>
              </w:tc>
              <w:tc>
                <w:tcPr>
                  <w:tcW w:w="1261" w:type="dxa"/>
                  <w:noWrap w:val="0"/>
                  <w:vAlign w:val="center"/>
                </w:tcPr>
                <w:p w14:paraId="3318EDB2">
                  <w:pPr>
                    <w:keepNext/>
                    <w:keepLines/>
                    <w:spacing w:line="400" w:lineRule="exact"/>
                    <w:jc w:val="center"/>
                    <w:rPr>
                      <w:rFonts w:hint="eastAsia" w:ascii="仿宋_GB2312" w:hAnsi="仿宋_GB2312" w:eastAsia="仿宋_GB2312" w:cs="仿宋_GB2312"/>
                      <w:kern w:val="0"/>
                      <w:sz w:val="24"/>
                      <w:szCs w:val="24"/>
                      <w:u w:val="none"/>
                      <w:lang w:val="zh-CN"/>
                    </w:rPr>
                  </w:pPr>
                  <w:r>
                    <w:rPr>
                      <w:rFonts w:hint="eastAsia" w:ascii="仿宋_GB2312" w:hAnsi="仿宋_GB2312" w:eastAsia="仿宋_GB2312" w:cs="仿宋_GB2312"/>
                      <w:kern w:val="0"/>
                      <w:sz w:val="24"/>
                      <w:szCs w:val="24"/>
                      <w:u w:val="none"/>
                      <w:lang w:val="zh-CN"/>
                    </w:rPr>
                    <w:t>ZL201710684508.1</w:t>
                  </w:r>
                </w:p>
              </w:tc>
              <w:tc>
                <w:tcPr>
                  <w:tcW w:w="1173" w:type="dxa"/>
                  <w:noWrap w:val="0"/>
                  <w:vAlign w:val="center"/>
                </w:tcPr>
                <w:p w14:paraId="6DAB02D4">
                  <w:pPr>
                    <w:keepNext/>
                    <w:keepLines/>
                    <w:spacing w:line="400" w:lineRule="exact"/>
                    <w:jc w:val="center"/>
                    <w:rPr>
                      <w:rFonts w:hint="eastAsia" w:ascii="仿宋_GB2312" w:hAnsi="仿宋_GB2312" w:eastAsia="仿宋_GB2312" w:cs="仿宋_GB2312"/>
                      <w:kern w:val="0"/>
                      <w:sz w:val="24"/>
                      <w:szCs w:val="24"/>
                      <w:u w:val="none"/>
                      <w:lang w:val="zh-CN"/>
                    </w:rPr>
                  </w:pPr>
                  <w:r>
                    <w:rPr>
                      <w:rFonts w:hint="eastAsia" w:ascii="仿宋_GB2312" w:hAnsi="仿宋_GB2312" w:eastAsia="仿宋_GB2312" w:cs="仿宋_GB2312"/>
                      <w:kern w:val="0"/>
                      <w:sz w:val="24"/>
                      <w:szCs w:val="24"/>
                      <w:u w:val="none"/>
                      <w:lang w:val="zh-CN"/>
                    </w:rPr>
                    <w:t>2019-07-23</w:t>
                  </w:r>
                </w:p>
              </w:tc>
              <w:tc>
                <w:tcPr>
                  <w:tcW w:w="1068" w:type="dxa"/>
                  <w:noWrap w:val="0"/>
                  <w:vAlign w:val="center"/>
                </w:tcPr>
                <w:p w14:paraId="291CC1D9">
                  <w:pPr>
                    <w:keepNext/>
                    <w:keepLines/>
                    <w:spacing w:line="400" w:lineRule="exact"/>
                    <w:jc w:val="center"/>
                    <w:rPr>
                      <w:rFonts w:hint="eastAsia" w:ascii="仿宋_GB2312" w:hAnsi="仿宋_GB2312" w:eastAsia="仿宋_GB2312" w:cs="仿宋_GB2312"/>
                      <w:kern w:val="0"/>
                      <w:sz w:val="24"/>
                      <w:szCs w:val="24"/>
                      <w:u w:val="none"/>
                      <w:lang w:val="zh-CN"/>
                    </w:rPr>
                  </w:pPr>
                  <w:r>
                    <w:rPr>
                      <w:rFonts w:hint="eastAsia" w:ascii="仿宋_GB2312" w:hAnsi="仿宋_GB2312" w:eastAsia="仿宋_GB2312" w:cs="仿宋_GB2312"/>
                      <w:kern w:val="0"/>
                      <w:sz w:val="24"/>
                      <w:szCs w:val="24"/>
                      <w:u w:val="none"/>
                      <w:lang w:val="zh-CN"/>
                    </w:rPr>
                    <w:t>东华大学</w:t>
                  </w:r>
                </w:p>
              </w:tc>
              <w:tc>
                <w:tcPr>
                  <w:tcW w:w="1308" w:type="dxa"/>
                  <w:noWrap w:val="0"/>
                  <w:vAlign w:val="center"/>
                </w:tcPr>
                <w:p w14:paraId="028C4E64">
                  <w:pPr>
                    <w:keepNext/>
                    <w:keepLines/>
                    <w:spacing w:line="400" w:lineRule="exact"/>
                    <w:jc w:val="center"/>
                    <w:rPr>
                      <w:rFonts w:hint="eastAsia" w:ascii="仿宋_GB2312" w:hAnsi="仿宋_GB2312" w:eastAsia="仿宋_GB2312" w:cs="仿宋_GB2312"/>
                      <w:kern w:val="0"/>
                      <w:sz w:val="24"/>
                      <w:szCs w:val="24"/>
                      <w:u w:val="none"/>
                      <w:lang w:val="zh-CN"/>
                    </w:rPr>
                  </w:pPr>
                  <w:r>
                    <w:rPr>
                      <w:rFonts w:hint="eastAsia" w:ascii="仿宋_GB2312" w:hAnsi="仿宋_GB2312" w:eastAsia="仿宋_GB2312" w:cs="仿宋_GB2312"/>
                      <w:kern w:val="0"/>
                      <w:sz w:val="24"/>
                      <w:szCs w:val="24"/>
                      <w:u w:val="none"/>
                      <w:lang w:val="zh-CN"/>
                    </w:rPr>
                    <w:t>覃小红；熊健</w:t>
                  </w:r>
                </w:p>
              </w:tc>
            </w:tr>
            <w:tr w14:paraId="17DEB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18" w:type="dxa"/>
                  <w:noWrap w:val="0"/>
                  <w:vAlign w:val="center"/>
                </w:tcPr>
                <w:p w14:paraId="17AEB07F">
                  <w:pPr>
                    <w:spacing w:line="240" w:lineRule="auto"/>
                    <w:jc w:val="center"/>
                    <w:rPr>
                      <w:rFonts w:hint="eastAsia" w:ascii="仿宋_GB2312" w:hAnsi="仿宋_GB2312" w:eastAsia="仿宋_GB2312" w:cs="仿宋_GB2312"/>
                      <w:kern w:val="0"/>
                      <w:sz w:val="24"/>
                      <w:szCs w:val="24"/>
                      <w:u w:val="none"/>
                      <w:lang w:val="zh-CN"/>
                    </w:rPr>
                  </w:pPr>
                  <w:r>
                    <w:rPr>
                      <w:rFonts w:hint="eastAsia" w:ascii="仿宋_GB2312" w:hAnsi="仿宋_GB2312" w:eastAsia="仿宋_GB2312" w:cs="仿宋_GB2312"/>
                      <w:kern w:val="0"/>
                      <w:sz w:val="24"/>
                      <w:szCs w:val="24"/>
                      <w:u w:val="none"/>
                      <w:lang w:val="zh-CN"/>
                    </w:rPr>
                    <w:t>2</w:t>
                  </w:r>
                </w:p>
              </w:tc>
              <w:tc>
                <w:tcPr>
                  <w:tcW w:w="1404" w:type="dxa"/>
                  <w:noWrap w:val="0"/>
                  <w:vAlign w:val="center"/>
                </w:tcPr>
                <w:p w14:paraId="0921ECF4">
                  <w:pPr>
                    <w:keepNext/>
                    <w:keepLines/>
                    <w:spacing w:line="400" w:lineRule="exact"/>
                    <w:jc w:val="center"/>
                    <w:rPr>
                      <w:rFonts w:hint="eastAsia" w:ascii="仿宋_GB2312" w:hAnsi="仿宋_GB2312" w:eastAsia="仿宋_GB2312" w:cs="仿宋_GB2312"/>
                      <w:kern w:val="0"/>
                      <w:sz w:val="24"/>
                      <w:szCs w:val="24"/>
                      <w:u w:val="none"/>
                    </w:rPr>
                  </w:pPr>
                  <w:r>
                    <w:rPr>
                      <w:rFonts w:hint="eastAsia" w:ascii="仿宋_GB2312" w:hAnsi="仿宋_GB2312" w:eastAsia="仿宋_GB2312" w:cs="仿宋_GB2312"/>
                      <w:kern w:val="0"/>
                      <w:sz w:val="24"/>
                      <w:szCs w:val="24"/>
                      <w:u w:val="none"/>
                      <w:lang w:val="zh-CN"/>
                    </w:rPr>
                    <w:t>一种应用于梳棉机的吸风网帘装置及其工作方法</w:t>
                  </w:r>
                </w:p>
              </w:tc>
              <w:tc>
                <w:tcPr>
                  <w:tcW w:w="970" w:type="dxa"/>
                  <w:noWrap w:val="0"/>
                  <w:vAlign w:val="center"/>
                </w:tcPr>
                <w:p w14:paraId="002E6C79">
                  <w:pPr>
                    <w:keepNext/>
                    <w:keepLines/>
                    <w:spacing w:line="400" w:lineRule="exact"/>
                    <w:jc w:val="center"/>
                    <w:rPr>
                      <w:rFonts w:hint="eastAsia" w:ascii="仿宋_GB2312" w:hAnsi="仿宋_GB2312" w:eastAsia="仿宋_GB2312" w:cs="仿宋_GB2312"/>
                      <w:kern w:val="0"/>
                      <w:sz w:val="24"/>
                      <w:szCs w:val="24"/>
                      <w:u w:val="none"/>
                      <w:lang w:val="zh-CN"/>
                    </w:rPr>
                  </w:pPr>
                  <w:r>
                    <w:rPr>
                      <w:rFonts w:hint="eastAsia" w:ascii="仿宋_GB2312" w:hAnsi="仿宋_GB2312" w:eastAsia="仿宋_GB2312" w:cs="仿宋_GB2312"/>
                      <w:kern w:val="0"/>
                      <w:sz w:val="24"/>
                      <w:szCs w:val="24"/>
                      <w:u w:val="none"/>
                      <w:lang w:val="zh-CN"/>
                    </w:rPr>
                    <w:t>发明专利</w:t>
                  </w:r>
                </w:p>
              </w:tc>
              <w:tc>
                <w:tcPr>
                  <w:tcW w:w="1261" w:type="dxa"/>
                  <w:noWrap w:val="0"/>
                  <w:vAlign w:val="center"/>
                </w:tcPr>
                <w:p w14:paraId="3846A469">
                  <w:pPr>
                    <w:spacing w:line="400" w:lineRule="exact"/>
                    <w:jc w:val="center"/>
                    <w:rPr>
                      <w:rFonts w:hint="eastAsia" w:ascii="仿宋_GB2312" w:hAnsi="仿宋_GB2312" w:eastAsia="仿宋_GB2312" w:cs="仿宋_GB2312"/>
                      <w:kern w:val="0"/>
                      <w:sz w:val="24"/>
                      <w:szCs w:val="24"/>
                      <w:u w:val="none"/>
                      <w:lang w:val="zh-CN"/>
                    </w:rPr>
                  </w:pPr>
                  <w:r>
                    <w:rPr>
                      <w:rFonts w:hint="eastAsia" w:ascii="仿宋_GB2312" w:hAnsi="仿宋_GB2312" w:eastAsia="仿宋_GB2312" w:cs="仿宋_GB2312"/>
                      <w:kern w:val="0"/>
                      <w:sz w:val="24"/>
                      <w:szCs w:val="24"/>
                      <w:u w:val="none"/>
                      <w:lang w:val="zh-CN"/>
                    </w:rPr>
                    <w:t>ZL201710472235.4</w:t>
                  </w:r>
                </w:p>
              </w:tc>
              <w:tc>
                <w:tcPr>
                  <w:tcW w:w="1173" w:type="dxa"/>
                  <w:noWrap w:val="0"/>
                  <w:vAlign w:val="center"/>
                </w:tcPr>
                <w:p w14:paraId="6F676E47">
                  <w:pPr>
                    <w:keepNext/>
                    <w:keepLines/>
                    <w:spacing w:line="400" w:lineRule="exact"/>
                    <w:jc w:val="center"/>
                    <w:rPr>
                      <w:rFonts w:hint="eastAsia" w:ascii="仿宋_GB2312" w:hAnsi="仿宋_GB2312" w:eastAsia="仿宋_GB2312" w:cs="仿宋_GB2312"/>
                      <w:kern w:val="0"/>
                      <w:sz w:val="24"/>
                      <w:szCs w:val="24"/>
                      <w:u w:val="none"/>
                      <w:lang w:val="zh-CN"/>
                    </w:rPr>
                  </w:pPr>
                  <w:r>
                    <w:rPr>
                      <w:rFonts w:hint="eastAsia" w:ascii="仿宋_GB2312" w:hAnsi="仿宋_GB2312" w:eastAsia="仿宋_GB2312" w:cs="仿宋_GB2312"/>
                      <w:kern w:val="0"/>
                      <w:sz w:val="24"/>
                      <w:szCs w:val="24"/>
                      <w:u w:val="none"/>
                      <w:lang w:val="zh-CN"/>
                    </w:rPr>
                    <w:t>2019-07-23</w:t>
                  </w:r>
                </w:p>
              </w:tc>
              <w:tc>
                <w:tcPr>
                  <w:tcW w:w="1068" w:type="dxa"/>
                  <w:noWrap w:val="0"/>
                  <w:vAlign w:val="center"/>
                </w:tcPr>
                <w:p w14:paraId="69998EAA">
                  <w:pPr>
                    <w:keepNext/>
                    <w:keepLines/>
                    <w:spacing w:line="400" w:lineRule="exact"/>
                    <w:jc w:val="center"/>
                    <w:rPr>
                      <w:rFonts w:hint="eastAsia" w:ascii="仿宋_GB2312" w:hAnsi="仿宋_GB2312" w:eastAsia="仿宋_GB2312" w:cs="仿宋_GB2312"/>
                      <w:kern w:val="0"/>
                      <w:sz w:val="24"/>
                      <w:szCs w:val="24"/>
                      <w:u w:val="none"/>
                      <w:lang w:val="zh-CN"/>
                    </w:rPr>
                  </w:pPr>
                  <w:r>
                    <w:rPr>
                      <w:rFonts w:hint="eastAsia" w:ascii="仿宋_GB2312" w:hAnsi="仿宋_GB2312" w:eastAsia="仿宋_GB2312" w:cs="仿宋_GB2312"/>
                      <w:kern w:val="0"/>
                      <w:sz w:val="24"/>
                      <w:szCs w:val="24"/>
                      <w:u w:val="none"/>
                      <w:lang w:val="zh-CN"/>
                    </w:rPr>
                    <w:t>东华大学</w:t>
                  </w:r>
                </w:p>
              </w:tc>
              <w:tc>
                <w:tcPr>
                  <w:tcW w:w="1308" w:type="dxa"/>
                  <w:noWrap w:val="0"/>
                  <w:vAlign w:val="center"/>
                </w:tcPr>
                <w:p w14:paraId="2F519F04">
                  <w:pPr>
                    <w:keepNext/>
                    <w:keepLines/>
                    <w:spacing w:line="400" w:lineRule="exact"/>
                    <w:jc w:val="center"/>
                    <w:rPr>
                      <w:rFonts w:hint="eastAsia" w:ascii="仿宋_GB2312" w:hAnsi="仿宋_GB2312" w:eastAsia="仿宋_GB2312" w:cs="仿宋_GB2312"/>
                      <w:kern w:val="0"/>
                      <w:sz w:val="24"/>
                      <w:szCs w:val="24"/>
                      <w:u w:val="none"/>
                      <w:lang w:val="zh-CN"/>
                    </w:rPr>
                  </w:pPr>
                  <w:r>
                    <w:rPr>
                      <w:rFonts w:hint="eastAsia" w:ascii="仿宋_GB2312" w:hAnsi="仿宋_GB2312" w:eastAsia="仿宋_GB2312" w:cs="仿宋_GB2312"/>
                      <w:kern w:val="0"/>
                      <w:sz w:val="24"/>
                      <w:szCs w:val="24"/>
                      <w:u w:val="none"/>
                      <w:lang w:val="zh-CN"/>
                    </w:rPr>
                    <w:t>覃小红；韩华；</w:t>
                  </w:r>
                </w:p>
                <w:p w14:paraId="1A302BCB">
                  <w:pPr>
                    <w:keepNext/>
                    <w:keepLines/>
                    <w:spacing w:line="400" w:lineRule="exact"/>
                    <w:jc w:val="center"/>
                    <w:rPr>
                      <w:rFonts w:hint="eastAsia" w:ascii="仿宋_GB2312" w:hAnsi="仿宋_GB2312" w:eastAsia="仿宋_GB2312" w:cs="仿宋_GB2312"/>
                      <w:kern w:val="0"/>
                      <w:sz w:val="24"/>
                      <w:szCs w:val="24"/>
                      <w:u w:val="none"/>
                      <w:lang w:val="zh-CN"/>
                    </w:rPr>
                  </w:pPr>
                  <w:r>
                    <w:rPr>
                      <w:rFonts w:hint="eastAsia" w:ascii="仿宋_GB2312" w:hAnsi="仿宋_GB2312" w:eastAsia="仿宋_GB2312" w:cs="仿宋_GB2312"/>
                      <w:kern w:val="0"/>
                      <w:sz w:val="24"/>
                      <w:szCs w:val="24"/>
                      <w:u w:val="none"/>
                      <w:lang w:val="zh-CN"/>
                    </w:rPr>
                    <w:t>王荣武；付友善；季东晓；张弘楠</w:t>
                  </w:r>
                </w:p>
              </w:tc>
            </w:tr>
            <w:tr w14:paraId="2728C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trPr>
              <w:tc>
                <w:tcPr>
                  <w:tcW w:w="618" w:type="dxa"/>
                  <w:noWrap w:val="0"/>
                  <w:vAlign w:val="center"/>
                </w:tcPr>
                <w:p w14:paraId="2C43103B">
                  <w:pPr>
                    <w:keepNext/>
                    <w:keepLines/>
                    <w:adjustRightInd w:val="0"/>
                    <w:snapToGrid w:val="0"/>
                    <w:jc w:val="center"/>
                    <w:rPr>
                      <w:rFonts w:hint="eastAsia" w:ascii="仿宋_GB2312" w:hAnsi="仿宋_GB2312" w:eastAsia="仿宋_GB2312" w:cs="仿宋_GB2312"/>
                      <w:kern w:val="0"/>
                      <w:sz w:val="24"/>
                      <w:szCs w:val="24"/>
                      <w:u w:val="none"/>
                      <w:lang w:val="zh-CN"/>
                    </w:rPr>
                  </w:pPr>
                  <w:r>
                    <w:rPr>
                      <w:rFonts w:hint="eastAsia" w:ascii="仿宋_GB2312" w:hAnsi="仿宋_GB2312" w:eastAsia="仿宋_GB2312" w:cs="仿宋_GB2312"/>
                      <w:kern w:val="0"/>
                      <w:sz w:val="24"/>
                      <w:szCs w:val="24"/>
                      <w:u w:val="none"/>
                      <w:lang w:val="zh-CN"/>
                    </w:rPr>
                    <w:t>3</w:t>
                  </w:r>
                </w:p>
              </w:tc>
              <w:tc>
                <w:tcPr>
                  <w:tcW w:w="1404" w:type="dxa"/>
                  <w:noWrap w:val="0"/>
                  <w:vAlign w:val="center"/>
                </w:tcPr>
                <w:p w14:paraId="2D2A1618">
                  <w:pPr>
                    <w:keepNext/>
                    <w:keepLines/>
                    <w:adjustRightInd/>
                    <w:snapToGrid/>
                    <w:spacing w:line="400" w:lineRule="exact"/>
                    <w:rPr>
                      <w:rFonts w:hint="eastAsia" w:ascii="仿宋_GB2312" w:hAnsi="仿宋_GB2312" w:eastAsia="仿宋_GB2312" w:cs="仿宋_GB2312"/>
                      <w:kern w:val="0"/>
                      <w:sz w:val="24"/>
                      <w:szCs w:val="24"/>
                      <w:u w:val="none"/>
                      <w:lang w:val="zh-CN"/>
                    </w:rPr>
                  </w:pPr>
                  <w:r>
                    <w:rPr>
                      <w:rFonts w:hint="eastAsia" w:ascii="仿宋_GB2312" w:hAnsi="仿宋_GB2312" w:eastAsia="仿宋_GB2312" w:cs="仿宋_GB2312"/>
                      <w:kern w:val="0"/>
                      <w:sz w:val="24"/>
                      <w:szCs w:val="24"/>
                      <w:u w:val="none"/>
                      <w:lang w:val="zh-CN"/>
                    </w:rPr>
                    <w:t>一种超吸水纤维多层梯度结构吸收芯层</w:t>
                  </w:r>
                </w:p>
              </w:tc>
              <w:tc>
                <w:tcPr>
                  <w:tcW w:w="970" w:type="dxa"/>
                  <w:noWrap w:val="0"/>
                  <w:vAlign w:val="center"/>
                </w:tcPr>
                <w:p w14:paraId="79CF44AB">
                  <w:pPr>
                    <w:keepNext/>
                    <w:keepLines/>
                    <w:spacing w:line="400" w:lineRule="exact"/>
                    <w:jc w:val="center"/>
                    <w:rPr>
                      <w:rFonts w:hint="eastAsia" w:ascii="仿宋_GB2312" w:hAnsi="仿宋_GB2312" w:eastAsia="仿宋_GB2312" w:cs="仿宋_GB2312"/>
                      <w:kern w:val="0"/>
                      <w:sz w:val="24"/>
                      <w:szCs w:val="24"/>
                      <w:u w:val="none"/>
                      <w:lang w:val="zh-CN"/>
                    </w:rPr>
                  </w:pPr>
                  <w:r>
                    <w:rPr>
                      <w:rFonts w:hint="eastAsia" w:ascii="仿宋_GB2312" w:hAnsi="仿宋_GB2312" w:eastAsia="仿宋_GB2312" w:cs="仿宋_GB2312"/>
                      <w:kern w:val="0"/>
                      <w:sz w:val="24"/>
                      <w:szCs w:val="24"/>
                      <w:u w:val="none"/>
                      <w:lang w:val="zh-CN"/>
                    </w:rPr>
                    <w:t>发明专利</w:t>
                  </w:r>
                </w:p>
              </w:tc>
              <w:tc>
                <w:tcPr>
                  <w:tcW w:w="1261" w:type="dxa"/>
                  <w:noWrap w:val="0"/>
                  <w:vAlign w:val="center"/>
                </w:tcPr>
                <w:p w14:paraId="14A37405">
                  <w:pPr>
                    <w:keepNext/>
                    <w:keepLines/>
                    <w:adjustRightInd/>
                    <w:snapToGrid/>
                    <w:spacing w:line="400" w:lineRule="exact"/>
                    <w:jc w:val="center"/>
                    <w:rPr>
                      <w:rFonts w:hint="eastAsia" w:ascii="仿宋_GB2312" w:hAnsi="仿宋_GB2312" w:eastAsia="仿宋_GB2312" w:cs="仿宋_GB2312"/>
                      <w:kern w:val="0"/>
                      <w:sz w:val="24"/>
                      <w:szCs w:val="24"/>
                      <w:u w:val="none"/>
                      <w:lang w:val="zh-CN"/>
                    </w:rPr>
                  </w:pPr>
                  <w:r>
                    <w:rPr>
                      <w:rFonts w:hint="eastAsia" w:ascii="仿宋_GB2312" w:hAnsi="仿宋_GB2312" w:eastAsia="仿宋_GB2312" w:cs="仿宋_GB2312"/>
                      <w:kern w:val="0"/>
                      <w:sz w:val="24"/>
                      <w:szCs w:val="24"/>
                      <w:u w:val="none"/>
                      <w:lang w:val="zh-CN"/>
                    </w:rPr>
                    <w:t>ZL202010283758.6</w:t>
                  </w:r>
                </w:p>
              </w:tc>
              <w:tc>
                <w:tcPr>
                  <w:tcW w:w="1173" w:type="dxa"/>
                  <w:noWrap w:val="0"/>
                  <w:vAlign w:val="center"/>
                </w:tcPr>
                <w:p w14:paraId="361DD93E">
                  <w:pPr>
                    <w:keepNext/>
                    <w:keepLines/>
                    <w:spacing w:line="400" w:lineRule="exact"/>
                    <w:jc w:val="center"/>
                    <w:rPr>
                      <w:rFonts w:hint="eastAsia" w:ascii="仿宋_GB2312" w:hAnsi="仿宋_GB2312" w:eastAsia="仿宋_GB2312" w:cs="仿宋_GB2312"/>
                      <w:kern w:val="0"/>
                      <w:sz w:val="24"/>
                      <w:szCs w:val="24"/>
                      <w:u w:val="none"/>
                      <w:lang w:val="zh-CN"/>
                    </w:rPr>
                  </w:pPr>
                  <w:r>
                    <w:rPr>
                      <w:rFonts w:hint="eastAsia" w:ascii="仿宋_GB2312" w:hAnsi="仿宋_GB2312" w:eastAsia="仿宋_GB2312" w:cs="仿宋_GB2312"/>
                      <w:kern w:val="0"/>
                      <w:sz w:val="24"/>
                      <w:szCs w:val="24"/>
                      <w:u w:val="none"/>
                      <w:lang w:val="zh-CN"/>
                    </w:rPr>
                    <w:t>2022-03-15</w:t>
                  </w:r>
                </w:p>
              </w:tc>
              <w:tc>
                <w:tcPr>
                  <w:tcW w:w="1068" w:type="dxa"/>
                  <w:noWrap w:val="0"/>
                  <w:vAlign w:val="center"/>
                </w:tcPr>
                <w:p w14:paraId="524FF0AB">
                  <w:pPr>
                    <w:keepNext/>
                    <w:keepLines/>
                    <w:adjustRightInd/>
                    <w:snapToGrid/>
                    <w:spacing w:line="400" w:lineRule="exact"/>
                    <w:jc w:val="center"/>
                    <w:rPr>
                      <w:rFonts w:hint="eastAsia" w:ascii="仿宋_GB2312" w:hAnsi="仿宋_GB2312" w:eastAsia="仿宋_GB2312" w:cs="仿宋_GB2312"/>
                      <w:kern w:val="0"/>
                      <w:sz w:val="24"/>
                      <w:szCs w:val="24"/>
                      <w:u w:val="none"/>
                      <w:lang w:val="zh-CN"/>
                    </w:rPr>
                  </w:pPr>
                  <w:r>
                    <w:rPr>
                      <w:rFonts w:hint="eastAsia" w:ascii="仿宋_GB2312" w:hAnsi="仿宋_GB2312" w:eastAsia="仿宋_GB2312" w:cs="仿宋_GB2312"/>
                      <w:kern w:val="0"/>
                      <w:sz w:val="24"/>
                      <w:szCs w:val="24"/>
                      <w:u w:val="none"/>
                      <w:lang w:val="zh-CN"/>
                    </w:rPr>
                    <w:t>东华大学</w:t>
                  </w:r>
                </w:p>
              </w:tc>
              <w:tc>
                <w:tcPr>
                  <w:tcW w:w="1308" w:type="dxa"/>
                  <w:noWrap w:val="0"/>
                  <w:vAlign w:val="center"/>
                </w:tcPr>
                <w:p w14:paraId="00F2993B">
                  <w:pPr>
                    <w:keepNext/>
                    <w:keepLines/>
                    <w:adjustRightInd/>
                    <w:snapToGrid/>
                    <w:spacing w:line="400" w:lineRule="exact"/>
                    <w:jc w:val="center"/>
                    <w:rPr>
                      <w:rFonts w:hint="eastAsia" w:ascii="仿宋_GB2312" w:hAnsi="仿宋_GB2312" w:eastAsia="仿宋_GB2312" w:cs="仿宋_GB2312"/>
                      <w:kern w:val="0"/>
                      <w:sz w:val="24"/>
                      <w:szCs w:val="24"/>
                      <w:u w:val="none"/>
                      <w:lang w:val="zh-CN"/>
                    </w:rPr>
                  </w:pPr>
                  <w:r>
                    <w:rPr>
                      <w:rFonts w:hint="eastAsia" w:ascii="仿宋_GB2312" w:hAnsi="仿宋_GB2312" w:eastAsia="仿宋_GB2312" w:cs="仿宋_GB2312"/>
                      <w:kern w:val="0"/>
                      <w:sz w:val="24"/>
                      <w:szCs w:val="24"/>
                      <w:u w:val="none"/>
                      <w:lang w:val="zh-CN"/>
                    </w:rPr>
                    <w:t>王荣武；叶文婷；覃小红</w:t>
                  </w:r>
                </w:p>
              </w:tc>
            </w:tr>
            <w:tr w14:paraId="00A83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trPr>
              <w:tc>
                <w:tcPr>
                  <w:tcW w:w="618" w:type="dxa"/>
                  <w:noWrap w:val="0"/>
                  <w:vAlign w:val="center"/>
                </w:tcPr>
                <w:p w14:paraId="0E69D248">
                  <w:pPr>
                    <w:keepNext/>
                    <w:keepLines/>
                    <w:adjustRightInd w:val="0"/>
                    <w:snapToGrid w:val="0"/>
                    <w:jc w:val="center"/>
                    <w:rPr>
                      <w:rFonts w:hint="eastAsia" w:ascii="仿宋_GB2312" w:hAnsi="仿宋_GB2312" w:eastAsia="仿宋_GB2312" w:cs="仿宋_GB2312"/>
                      <w:kern w:val="0"/>
                      <w:sz w:val="24"/>
                      <w:szCs w:val="24"/>
                      <w:u w:val="none"/>
                      <w:lang w:val="zh-CN"/>
                    </w:rPr>
                  </w:pPr>
                  <w:r>
                    <w:rPr>
                      <w:rFonts w:hint="eastAsia" w:ascii="仿宋_GB2312" w:hAnsi="仿宋_GB2312" w:eastAsia="仿宋_GB2312" w:cs="仿宋_GB2312"/>
                      <w:kern w:val="0"/>
                      <w:sz w:val="24"/>
                      <w:szCs w:val="24"/>
                      <w:u w:val="none"/>
                      <w:lang w:val="zh-CN"/>
                    </w:rPr>
                    <w:t>4</w:t>
                  </w:r>
                </w:p>
              </w:tc>
              <w:tc>
                <w:tcPr>
                  <w:tcW w:w="1404" w:type="dxa"/>
                  <w:noWrap w:val="0"/>
                  <w:vAlign w:val="center"/>
                </w:tcPr>
                <w:p w14:paraId="0C608F54">
                  <w:pPr>
                    <w:keepNext/>
                    <w:keepLines/>
                    <w:adjustRightInd/>
                    <w:snapToGrid/>
                    <w:spacing w:line="400" w:lineRule="exact"/>
                    <w:rPr>
                      <w:rFonts w:hint="eastAsia" w:ascii="仿宋_GB2312" w:hAnsi="仿宋_GB2312" w:eastAsia="仿宋_GB2312" w:cs="仿宋_GB2312"/>
                      <w:kern w:val="0"/>
                      <w:sz w:val="24"/>
                      <w:szCs w:val="24"/>
                      <w:u w:val="none"/>
                      <w:lang w:val="zh-CN"/>
                    </w:rPr>
                  </w:pPr>
                  <w:r>
                    <w:rPr>
                      <w:rFonts w:hint="eastAsia" w:ascii="仿宋_GB2312" w:hAnsi="仿宋_GB2312" w:eastAsia="仿宋_GB2312" w:cs="仿宋_GB2312"/>
                      <w:kern w:val="0"/>
                      <w:sz w:val="24"/>
                      <w:szCs w:val="24"/>
                      <w:u w:val="none"/>
                      <w:lang w:val="zh-CN"/>
                    </w:rPr>
                    <w:t>一种静电纺功能性纺织品的染色方法</w:t>
                  </w:r>
                </w:p>
              </w:tc>
              <w:tc>
                <w:tcPr>
                  <w:tcW w:w="970" w:type="dxa"/>
                  <w:noWrap w:val="0"/>
                  <w:vAlign w:val="center"/>
                </w:tcPr>
                <w:p w14:paraId="68DCD3A1">
                  <w:pPr>
                    <w:keepNext/>
                    <w:keepLines/>
                    <w:spacing w:line="400" w:lineRule="exact"/>
                    <w:jc w:val="center"/>
                    <w:rPr>
                      <w:rFonts w:hint="eastAsia" w:ascii="仿宋_GB2312" w:hAnsi="仿宋_GB2312" w:eastAsia="仿宋_GB2312" w:cs="仿宋_GB2312"/>
                      <w:kern w:val="0"/>
                      <w:sz w:val="24"/>
                      <w:szCs w:val="24"/>
                      <w:u w:val="none"/>
                      <w:lang w:val="zh-CN"/>
                    </w:rPr>
                  </w:pPr>
                  <w:r>
                    <w:rPr>
                      <w:rFonts w:hint="eastAsia" w:ascii="仿宋_GB2312" w:hAnsi="仿宋_GB2312" w:eastAsia="仿宋_GB2312" w:cs="仿宋_GB2312"/>
                      <w:kern w:val="0"/>
                      <w:sz w:val="24"/>
                      <w:szCs w:val="24"/>
                      <w:u w:val="none"/>
                      <w:lang w:val="zh-CN"/>
                    </w:rPr>
                    <w:t>发明专利</w:t>
                  </w:r>
                </w:p>
              </w:tc>
              <w:tc>
                <w:tcPr>
                  <w:tcW w:w="1261" w:type="dxa"/>
                  <w:noWrap w:val="0"/>
                  <w:vAlign w:val="center"/>
                </w:tcPr>
                <w:p w14:paraId="2F488068">
                  <w:pPr>
                    <w:keepNext/>
                    <w:keepLines/>
                    <w:adjustRightInd/>
                    <w:snapToGrid/>
                    <w:spacing w:line="400" w:lineRule="exact"/>
                    <w:jc w:val="center"/>
                    <w:rPr>
                      <w:rFonts w:hint="eastAsia" w:ascii="仿宋_GB2312" w:hAnsi="仿宋_GB2312" w:eastAsia="仿宋_GB2312" w:cs="仿宋_GB2312"/>
                      <w:kern w:val="0"/>
                      <w:sz w:val="24"/>
                      <w:szCs w:val="24"/>
                      <w:u w:val="none"/>
                      <w:lang w:val="zh-CN"/>
                    </w:rPr>
                  </w:pPr>
                  <w:r>
                    <w:rPr>
                      <w:rFonts w:hint="eastAsia" w:ascii="仿宋_GB2312" w:hAnsi="仿宋_GB2312" w:eastAsia="仿宋_GB2312" w:cs="仿宋_GB2312"/>
                      <w:kern w:val="0"/>
                      <w:sz w:val="24"/>
                      <w:szCs w:val="24"/>
                      <w:u w:val="none"/>
                      <w:lang w:val="zh-CN"/>
                    </w:rPr>
                    <w:t>ZL202110430208.7</w:t>
                  </w:r>
                </w:p>
              </w:tc>
              <w:tc>
                <w:tcPr>
                  <w:tcW w:w="1173" w:type="dxa"/>
                  <w:noWrap w:val="0"/>
                  <w:vAlign w:val="center"/>
                </w:tcPr>
                <w:p w14:paraId="0E301D5F">
                  <w:pPr>
                    <w:keepNext/>
                    <w:keepLines/>
                    <w:spacing w:line="400" w:lineRule="exact"/>
                    <w:jc w:val="center"/>
                    <w:rPr>
                      <w:rFonts w:hint="eastAsia" w:ascii="仿宋_GB2312" w:hAnsi="仿宋_GB2312" w:eastAsia="仿宋_GB2312" w:cs="仿宋_GB2312"/>
                      <w:kern w:val="0"/>
                      <w:sz w:val="24"/>
                      <w:szCs w:val="24"/>
                      <w:u w:val="none"/>
                      <w:lang w:val="zh-CN"/>
                    </w:rPr>
                  </w:pPr>
                  <w:r>
                    <w:rPr>
                      <w:rFonts w:hint="eastAsia" w:ascii="仿宋_GB2312" w:hAnsi="仿宋_GB2312" w:eastAsia="仿宋_GB2312" w:cs="仿宋_GB2312"/>
                      <w:kern w:val="0"/>
                      <w:sz w:val="24"/>
                      <w:szCs w:val="24"/>
                      <w:u w:val="none"/>
                      <w:lang w:val="zh-CN"/>
                    </w:rPr>
                    <w:t>2022-07-08</w:t>
                  </w:r>
                </w:p>
              </w:tc>
              <w:tc>
                <w:tcPr>
                  <w:tcW w:w="1068" w:type="dxa"/>
                  <w:noWrap w:val="0"/>
                  <w:vAlign w:val="center"/>
                </w:tcPr>
                <w:p w14:paraId="30896DE5">
                  <w:pPr>
                    <w:keepNext/>
                    <w:keepLines/>
                    <w:adjustRightInd/>
                    <w:snapToGrid/>
                    <w:spacing w:line="400" w:lineRule="exact"/>
                    <w:jc w:val="center"/>
                    <w:rPr>
                      <w:rFonts w:hint="eastAsia" w:ascii="仿宋_GB2312" w:hAnsi="仿宋_GB2312" w:eastAsia="仿宋_GB2312" w:cs="仿宋_GB2312"/>
                      <w:kern w:val="0"/>
                      <w:sz w:val="24"/>
                      <w:szCs w:val="24"/>
                      <w:u w:val="none"/>
                      <w:lang w:val="zh-CN"/>
                    </w:rPr>
                  </w:pPr>
                  <w:r>
                    <w:rPr>
                      <w:rFonts w:hint="eastAsia" w:ascii="仿宋_GB2312" w:hAnsi="仿宋_GB2312" w:eastAsia="仿宋_GB2312" w:cs="仿宋_GB2312"/>
                      <w:kern w:val="0"/>
                      <w:sz w:val="24"/>
                      <w:szCs w:val="24"/>
                      <w:u w:val="none"/>
                      <w:lang w:val="zh-CN"/>
                    </w:rPr>
                    <w:t>东华大学</w:t>
                  </w:r>
                </w:p>
              </w:tc>
              <w:tc>
                <w:tcPr>
                  <w:tcW w:w="1308" w:type="dxa"/>
                  <w:noWrap w:val="0"/>
                  <w:vAlign w:val="center"/>
                </w:tcPr>
                <w:p w14:paraId="0768A2D1">
                  <w:pPr>
                    <w:keepNext/>
                    <w:keepLines/>
                    <w:adjustRightInd/>
                    <w:snapToGrid/>
                    <w:spacing w:line="400" w:lineRule="exact"/>
                    <w:jc w:val="center"/>
                    <w:rPr>
                      <w:rFonts w:hint="eastAsia" w:ascii="仿宋_GB2312" w:hAnsi="仿宋_GB2312" w:cs="仿宋_GB2312"/>
                      <w:sz w:val="24"/>
                      <w:u w:val="none"/>
                      <w:lang w:val="zh-CN"/>
                    </w:rPr>
                  </w:pPr>
                  <w:r>
                    <w:rPr>
                      <w:rFonts w:hint="eastAsia" w:ascii="仿宋_GB2312" w:hAnsi="仿宋_GB2312" w:eastAsia="仿宋_GB2312" w:cs="仿宋_GB2312"/>
                      <w:kern w:val="0"/>
                      <w:sz w:val="24"/>
                      <w:szCs w:val="24"/>
                      <w:u w:val="none"/>
                      <w:lang w:val="zh-CN"/>
                    </w:rPr>
                    <w:t>覃小红；李景川；权震震；王荣武；张弘楠</w:t>
                  </w:r>
                </w:p>
              </w:tc>
            </w:tr>
            <w:tr w14:paraId="570D6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trPr>
              <w:tc>
                <w:tcPr>
                  <w:tcW w:w="618" w:type="dxa"/>
                  <w:noWrap w:val="0"/>
                  <w:vAlign w:val="center"/>
                </w:tcPr>
                <w:p w14:paraId="764DA667">
                  <w:pPr>
                    <w:keepNext/>
                    <w:keepLines/>
                    <w:adjustRightInd w:val="0"/>
                    <w:snapToGrid w:val="0"/>
                    <w:jc w:val="center"/>
                    <w:rPr>
                      <w:rFonts w:hint="eastAsia" w:ascii="仿宋_GB2312" w:hAnsi="仿宋_GB2312" w:eastAsia="仿宋_GB2312" w:cs="仿宋_GB2312"/>
                      <w:kern w:val="0"/>
                      <w:sz w:val="24"/>
                      <w:szCs w:val="24"/>
                      <w:u w:val="none"/>
                      <w:lang w:val="zh-CN"/>
                    </w:rPr>
                  </w:pPr>
                  <w:r>
                    <w:rPr>
                      <w:rFonts w:hint="eastAsia" w:ascii="仿宋_GB2312" w:hAnsi="仿宋_GB2312" w:eastAsia="仿宋_GB2312" w:cs="仿宋_GB2312"/>
                      <w:kern w:val="0"/>
                      <w:sz w:val="24"/>
                      <w:szCs w:val="24"/>
                      <w:u w:val="none"/>
                      <w:lang w:val="zh-CN"/>
                    </w:rPr>
                    <w:t>5</w:t>
                  </w:r>
                </w:p>
              </w:tc>
              <w:tc>
                <w:tcPr>
                  <w:tcW w:w="1404" w:type="dxa"/>
                  <w:noWrap w:val="0"/>
                  <w:vAlign w:val="center"/>
                </w:tcPr>
                <w:p w14:paraId="7327099B">
                  <w:pPr>
                    <w:keepNext/>
                    <w:keepLines/>
                    <w:adjustRightInd/>
                    <w:snapToGrid/>
                    <w:spacing w:line="400" w:lineRule="exact"/>
                    <w:rPr>
                      <w:rFonts w:hint="eastAsia" w:ascii="仿宋_GB2312" w:hAnsi="仿宋_GB2312" w:eastAsia="仿宋_GB2312" w:cs="仿宋_GB2312"/>
                      <w:kern w:val="0"/>
                      <w:sz w:val="24"/>
                      <w:szCs w:val="24"/>
                      <w:u w:val="none"/>
                      <w:lang w:val="zh-CN"/>
                    </w:rPr>
                  </w:pPr>
                  <w:r>
                    <w:rPr>
                      <w:rFonts w:hint="eastAsia" w:ascii="仿宋_GB2312" w:hAnsi="仿宋_GB2312" w:eastAsia="仿宋_GB2312" w:cs="仿宋_GB2312"/>
                      <w:kern w:val="0"/>
                      <w:sz w:val="24"/>
                      <w:szCs w:val="24"/>
                      <w:u w:val="none"/>
                      <w:lang w:val="zh-CN"/>
                    </w:rPr>
                    <w:t>一种防螨镶嵌纺纱线的制备方法</w:t>
                  </w:r>
                </w:p>
              </w:tc>
              <w:tc>
                <w:tcPr>
                  <w:tcW w:w="970" w:type="dxa"/>
                  <w:noWrap w:val="0"/>
                  <w:vAlign w:val="center"/>
                </w:tcPr>
                <w:p w14:paraId="20538E5D">
                  <w:pPr>
                    <w:keepNext/>
                    <w:keepLines/>
                    <w:spacing w:line="400" w:lineRule="exact"/>
                    <w:jc w:val="center"/>
                    <w:rPr>
                      <w:rFonts w:hint="eastAsia" w:ascii="仿宋_GB2312" w:hAnsi="仿宋_GB2312" w:eastAsia="仿宋_GB2312" w:cs="仿宋_GB2312"/>
                      <w:kern w:val="0"/>
                      <w:sz w:val="24"/>
                      <w:szCs w:val="24"/>
                      <w:u w:val="none"/>
                      <w:lang w:val="zh-CN"/>
                    </w:rPr>
                  </w:pPr>
                  <w:r>
                    <w:rPr>
                      <w:rFonts w:hint="eastAsia" w:ascii="仿宋_GB2312" w:hAnsi="仿宋_GB2312" w:eastAsia="仿宋_GB2312" w:cs="仿宋_GB2312"/>
                      <w:kern w:val="0"/>
                      <w:sz w:val="24"/>
                      <w:szCs w:val="24"/>
                      <w:u w:val="none"/>
                      <w:lang w:val="zh-CN"/>
                    </w:rPr>
                    <w:t>发明专利</w:t>
                  </w:r>
                </w:p>
              </w:tc>
              <w:tc>
                <w:tcPr>
                  <w:tcW w:w="1261" w:type="dxa"/>
                  <w:noWrap w:val="0"/>
                  <w:vAlign w:val="center"/>
                </w:tcPr>
                <w:p w14:paraId="23AD5D88">
                  <w:pPr>
                    <w:keepNext/>
                    <w:keepLines/>
                    <w:adjustRightInd/>
                    <w:snapToGrid/>
                    <w:spacing w:line="400" w:lineRule="exact"/>
                    <w:jc w:val="center"/>
                    <w:rPr>
                      <w:rFonts w:hint="eastAsia" w:ascii="仿宋_GB2312" w:hAnsi="仿宋_GB2312" w:eastAsia="仿宋_GB2312" w:cs="仿宋_GB2312"/>
                      <w:kern w:val="0"/>
                      <w:sz w:val="24"/>
                      <w:szCs w:val="24"/>
                      <w:u w:val="none"/>
                      <w:lang w:val="zh-CN"/>
                    </w:rPr>
                  </w:pPr>
                  <w:r>
                    <w:rPr>
                      <w:rFonts w:hint="eastAsia" w:ascii="仿宋_GB2312" w:hAnsi="仿宋_GB2312" w:eastAsia="仿宋_GB2312" w:cs="仿宋_GB2312"/>
                      <w:kern w:val="0"/>
                      <w:sz w:val="24"/>
                      <w:szCs w:val="24"/>
                      <w:u w:val="none"/>
                      <w:lang w:val="zh-CN"/>
                    </w:rPr>
                    <w:t>ZL202310831027.4</w:t>
                  </w:r>
                </w:p>
              </w:tc>
              <w:tc>
                <w:tcPr>
                  <w:tcW w:w="1173" w:type="dxa"/>
                  <w:noWrap w:val="0"/>
                  <w:vAlign w:val="center"/>
                </w:tcPr>
                <w:p w14:paraId="270E1CC3">
                  <w:pPr>
                    <w:keepNext/>
                    <w:keepLines/>
                    <w:spacing w:line="400" w:lineRule="exact"/>
                    <w:jc w:val="center"/>
                    <w:rPr>
                      <w:rFonts w:hint="eastAsia" w:ascii="仿宋_GB2312" w:hAnsi="仿宋_GB2312" w:eastAsia="仿宋_GB2312" w:cs="仿宋_GB2312"/>
                      <w:kern w:val="0"/>
                      <w:sz w:val="24"/>
                      <w:szCs w:val="24"/>
                      <w:u w:val="none"/>
                      <w:lang w:val="zh-CN"/>
                    </w:rPr>
                  </w:pPr>
                  <w:r>
                    <w:rPr>
                      <w:rFonts w:hint="eastAsia" w:ascii="仿宋_GB2312" w:hAnsi="仿宋_GB2312" w:eastAsia="仿宋_GB2312" w:cs="仿宋_GB2312"/>
                      <w:kern w:val="0"/>
                      <w:sz w:val="24"/>
                      <w:szCs w:val="24"/>
                      <w:u w:val="none"/>
                      <w:lang w:val="zh-CN"/>
                    </w:rPr>
                    <w:t>2026-03-17</w:t>
                  </w:r>
                </w:p>
              </w:tc>
              <w:tc>
                <w:tcPr>
                  <w:tcW w:w="1068" w:type="dxa"/>
                  <w:noWrap w:val="0"/>
                  <w:vAlign w:val="center"/>
                </w:tcPr>
                <w:p w14:paraId="441A7BCF">
                  <w:pPr>
                    <w:keepNext/>
                    <w:keepLines/>
                    <w:adjustRightInd/>
                    <w:snapToGrid/>
                    <w:spacing w:line="400" w:lineRule="exact"/>
                    <w:jc w:val="center"/>
                    <w:rPr>
                      <w:rFonts w:hint="eastAsia" w:ascii="仿宋_GB2312" w:hAnsi="仿宋_GB2312" w:eastAsia="仿宋_GB2312" w:cs="仿宋_GB2312"/>
                      <w:kern w:val="0"/>
                      <w:sz w:val="24"/>
                      <w:szCs w:val="24"/>
                      <w:u w:val="none"/>
                      <w:lang w:val="zh-CN"/>
                    </w:rPr>
                  </w:pPr>
                  <w:r>
                    <w:rPr>
                      <w:rFonts w:hint="eastAsia" w:ascii="仿宋_GB2312" w:hAnsi="仿宋_GB2312" w:eastAsia="仿宋_GB2312" w:cs="仿宋_GB2312"/>
                      <w:kern w:val="0"/>
                      <w:sz w:val="24"/>
                      <w:szCs w:val="24"/>
                      <w:u w:val="none"/>
                      <w:lang w:val="zh-CN"/>
                    </w:rPr>
                    <w:t>东华大学</w:t>
                  </w:r>
                </w:p>
              </w:tc>
              <w:tc>
                <w:tcPr>
                  <w:tcW w:w="1308" w:type="dxa"/>
                  <w:noWrap w:val="0"/>
                  <w:vAlign w:val="center"/>
                </w:tcPr>
                <w:p w14:paraId="18412D12">
                  <w:pPr>
                    <w:keepNext/>
                    <w:keepLines/>
                    <w:adjustRightInd/>
                    <w:snapToGrid/>
                    <w:spacing w:line="400" w:lineRule="exact"/>
                    <w:jc w:val="center"/>
                    <w:rPr>
                      <w:rFonts w:hint="eastAsia" w:ascii="仿宋_GB2312" w:hAnsi="仿宋_GB2312" w:cs="仿宋_GB2312"/>
                      <w:sz w:val="24"/>
                      <w:u w:val="none"/>
                      <w:lang w:val="zh-CN"/>
                    </w:rPr>
                  </w:pPr>
                  <w:r>
                    <w:rPr>
                      <w:rFonts w:hint="eastAsia" w:ascii="仿宋_GB2312" w:hAnsi="仿宋_GB2312" w:eastAsia="仿宋_GB2312" w:cs="仿宋_GB2312"/>
                      <w:kern w:val="0"/>
                      <w:sz w:val="24"/>
                      <w:szCs w:val="24"/>
                      <w:u w:val="none"/>
                      <w:lang w:val="zh-CN"/>
                    </w:rPr>
                    <w:t>季东晓；滕飞；刘畅；覃小红</w:t>
                  </w:r>
                </w:p>
              </w:tc>
            </w:tr>
          </w:tbl>
          <w:p w14:paraId="33177A84">
            <w:pPr>
              <w:pStyle w:val="11"/>
              <w:spacing w:line="240" w:lineRule="auto"/>
              <w:ind w:firstLine="480"/>
              <w:rPr>
                <w:rFonts w:hint="eastAsia" w:ascii="仿宋_GB2312" w:hAnsi="仿宋_GB2312" w:eastAsia="仿宋_GB2312" w:cs="仿宋_GB2312"/>
                <w:sz w:val="24"/>
                <w:szCs w:val="24"/>
                <w:u w:val="none"/>
              </w:rPr>
            </w:pPr>
          </w:p>
        </w:tc>
      </w:tr>
      <w:tr w14:paraId="0F547D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90" w:hRule="atLeast"/>
          <w:jc w:val="center"/>
        </w:trPr>
        <w:tc>
          <w:tcPr>
            <w:tcW w:w="1039" w:type="dxa"/>
            <w:shd w:val="clear" w:color="auto" w:fill="FFFFFF"/>
            <w:noWrap w:val="0"/>
            <w:vAlign w:val="center"/>
          </w:tcPr>
          <w:p w14:paraId="34888E7D">
            <w:pPr>
              <w:adjustRightInd w:val="0"/>
              <w:snapToGrid w:val="0"/>
              <w:spacing w:line="240" w:lineRule="auto"/>
              <w:jc w:val="center"/>
              <w:rPr>
                <w:rFonts w:hint="eastAsia" w:ascii="仿宋_GB2312" w:hAnsi="仿宋_GB2312" w:eastAsia="仿宋_GB2312" w:cs="仿宋_GB2312"/>
                <w:sz w:val="24"/>
                <w:u w:val="none"/>
              </w:rPr>
            </w:pPr>
            <w:r>
              <w:rPr>
                <w:rFonts w:hint="eastAsia" w:ascii="仿宋_GB2312" w:hAnsi="仿宋_GB2312" w:eastAsia="仿宋_GB2312" w:cs="仿宋_GB2312"/>
                <w:sz w:val="24"/>
                <w:u w:val="none"/>
              </w:rPr>
              <w:t>成果产业化资金需求预测</w:t>
            </w:r>
          </w:p>
        </w:tc>
        <w:tc>
          <w:tcPr>
            <w:tcW w:w="7926" w:type="dxa"/>
            <w:gridSpan w:val="4"/>
            <w:shd w:val="clear" w:color="auto" w:fill="FFFFFF"/>
            <w:noWrap w:val="0"/>
            <w:vAlign w:val="center"/>
          </w:tcPr>
          <w:p w14:paraId="043A0286">
            <w:pPr>
              <w:adjustRightInd w:val="0"/>
              <w:snapToGrid w:val="0"/>
              <w:ind w:firstLine="514" w:firstLineChars="200"/>
              <w:rPr>
                <w:rFonts w:hint="eastAsia" w:ascii="仿宋_GB2312" w:hAnsi="仿宋_GB2312" w:eastAsia="仿宋_GB2312" w:cs="仿宋_GB2312"/>
                <w:sz w:val="24"/>
                <w:u w:val="none"/>
              </w:rPr>
            </w:pPr>
            <w:r>
              <w:rPr>
                <w:rFonts w:hint="eastAsia" w:ascii="仿宋_GB2312" w:hAnsi="仿宋_GB2312" w:eastAsia="仿宋_GB2312" w:cs="仿宋_GB2312"/>
                <w:sz w:val="24"/>
                <w:u w:val="none"/>
              </w:rPr>
              <w:t>拟投入产业化资金1200万元，围绕“装备成套化、工艺连续化、产品系列化、应用场景化”精准配置。其中550万元用于退卷—纳米纤维镶嵌—功能化整理—在线复合一体化新装备研制、关键部件定制、控制系统集成和示范线安装调试，形成可连续运行、可参数化控制、可复制推广的工程化装备；100万元用于纳米纤维专用功能助剂、功能母粒及复合工艺优化，建立抗菌、吸湿速干、防螨等功能配方库和质量控制方法；100万元用于中试、示范及下游织造、染整、面料和服装端适配验证，打通产品从长丝到终端应用的评价链条；100万元用于第三方检测认证、企业/行业标准、知识产权、专家团队和市场推广；350万元用于</w:t>
            </w:r>
            <w:r>
              <w:rPr>
                <w:rFonts w:hint="eastAsia" w:ascii="仿宋_GB2312" w:hAnsi="仿宋_GB2312" w:eastAsia="仿宋_GB2312" w:cs="仿宋_GB2312"/>
                <w:sz w:val="24"/>
                <w:u w:val="none"/>
                <w:lang w:eastAsia="zh-CN"/>
              </w:rPr>
              <w:t>支付购买该成果的技术转让</w:t>
            </w:r>
            <w:r>
              <w:rPr>
                <w:rFonts w:hint="eastAsia" w:ascii="仿宋_GB2312" w:hAnsi="仿宋_GB2312" w:eastAsia="仿宋_GB2312" w:cs="仿宋_GB2312"/>
                <w:sz w:val="24"/>
                <w:u w:val="none"/>
              </w:rPr>
              <w:t>费，完成纳米纤维跨尺度镶嵌核心工艺、改性配方全套技术权属交割，补齐技术溯源、成果确权相关投入，夯实产学研协同转化基础。</w:t>
            </w:r>
          </w:p>
        </w:tc>
      </w:tr>
      <w:tr w14:paraId="06F145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537" w:hRule="atLeast"/>
          <w:jc w:val="center"/>
        </w:trPr>
        <w:tc>
          <w:tcPr>
            <w:tcW w:w="1039" w:type="dxa"/>
            <w:shd w:val="clear" w:color="auto" w:fill="FFFFFF"/>
            <w:noWrap w:val="0"/>
            <w:vAlign w:val="center"/>
          </w:tcPr>
          <w:p w14:paraId="6424EE67">
            <w:pPr>
              <w:adjustRightInd w:val="0"/>
              <w:snapToGrid w:val="0"/>
              <w:spacing w:line="240" w:lineRule="auto"/>
              <w:jc w:val="center"/>
              <w:rPr>
                <w:rFonts w:hint="eastAsia" w:ascii="仿宋_GB2312" w:hAnsi="仿宋_GB2312" w:eastAsia="仿宋_GB2312" w:cs="仿宋_GB2312"/>
                <w:sz w:val="24"/>
                <w:u w:val="none"/>
              </w:rPr>
            </w:pPr>
            <w:r>
              <w:rPr>
                <w:rFonts w:hint="eastAsia" w:ascii="仿宋_GB2312" w:hAnsi="仿宋_GB2312" w:eastAsia="仿宋_GB2312" w:cs="仿宋_GB2312"/>
                <w:sz w:val="24"/>
                <w:u w:val="none"/>
              </w:rPr>
              <w:t>成果转化后预期的经济、社会效益</w:t>
            </w:r>
          </w:p>
        </w:tc>
        <w:tc>
          <w:tcPr>
            <w:tcW w:w="7926" w:type="dxa"/>
            <w:gridSpan w:val="4"/>
            <w:shd w:val="clear" w:color="auto" w:fill="FFFFFF"/>
            <w:noWrap w:val="0"/>
            <w:vAlign w:val="center"/>
          </w:tcPr>
          <w:p w14:paraId="19A12C9C">
            <w:pPr>
              <w:adjustRightInd w:val="0"/>
              <w:snapToGrid w:val="0"/>
              <w:spacing w:line="240" w:lineRule="auto"/>
              <w:jc w:val="left"/>
              <w:rPr>
                <w:rFonts w:hint="eastAsia" w:ascii="仿宋_GB2312" w:hAnsi="仿宋_GB2312" w:eastAsia="仿宋_GB2312" w:cs="仿宋_GB2312"/>
                <w:sz w:val="24"/>
                <w:u w:val="none"/>
              </w:rPr>
            </w:pPr>
            <w:r>
              <w:rPr>
                <w:rFonts w:hint="eastAsia" w:ascii="仿宋_GB2312" w:hAnsi="仿宋_GB2312" w:eastAsia="仿宋_GB2312" w:cs="仿宋_GB2312"/>
                <w:sz w:val="24"/>
                <w:u w:val="none"/>
              </w:rPr>
              <w:t>（成果产业化后可能取得的主要经济、社会、生态效益，提升我省相关产业竞争力等方面的作用）</w:t>
            </w:r>
          </w:p>
          <w:p w14:paraId="07CB4BC4">
            <w:pPr>
              <w:adjustRightInd w:val="0"/>
              <w:snapToGrid w:val="0"/>
              <w:ind w:firstLine="514" w:firstLineChars="200"/>
              <w:rPr>
                <w:rFonts w:hint="eastAsia" w:ascii="仿宋_GB2312" w:hAnsi="仿宋_GB2312" w:eastAsia="仿宋_GB2312" w:cs="仿宋_GB2312"/>
                <w:sz w:val="24"/>
                <w:u w:val="none"/>
              </w:rPr>
            </w:pPr>
            <w:r>
              <w:rPr>
                <w:rFonts w:hint="eastAsia" w:ascii="仿宋_GB2312" w:hAnsi="仿宋_GB2312" w:eastAsia="仿宋_GB2312" w:cs="仿宋_GB2312"/>
                <w:sz w:val="24"/>
                <w:u w:val="none"/>
              </w:rPr>
              <w:t>福建省作为全国纺织鞋服产业大省，锦纶民用丝产量连续多年稳居全国第一，涉及锦纶生产及下游应用的企业超300家，但全省90%以上企业集中于中低端常规纤维生产，高端吸湿、抗菌、彩色功能耐久型锦纶纤维及面料几乎完全依赖进口，年进口额超20亿元。本项目的成功实施将从根本上破解这一困境。经济效益方面，</w:t>
            </w:r>
            <w:r>
              <w:rPr>
                <w:rFonts w:hint="eastAsia" w:ascii="仿宋_GB2312" w:hAnsi="仿宋_GB2312" w:eastAsia="仿宋_GB2312" w:cs="仿宋_GB2312"/>
                <w:b/>
                <w:bCs/>
                <w:sz w:val="24"/>
                <w:u w:val="none"/>
              </w:rPr>
              <w:t>项目首期预计年产高端功能性锦纶纤维5000吨</w:t>
            </w:r>
            <w:r>
              <w:rPr>
                <w:rFonts w:hint="eastAsia" w:ascii="仿宋_GB2312" w:hAnsi="仿宋_GB2312" w:eastAsia="仿宋_GB2312" w:cs="仿宋_GB2312"/>
                <w:sz w:val="24"/>
                <w:u w:val="none"/>
              </w:rPr>
              <w:t>，实现抗菌、防螨、吸湿等多种功能，同时为安踏、特步等本地知名服饰企业降低原料采购成本。此外，项目将带动上游专用功能材料、分散剂等新型材料产业发展，推动下游产品附加值提升。社会效益方面，项目颠覆传统高耗水、高污染的后整理工艺，每吨功能纺织品可年综合减排数千吨，有力支撑福建省“双碳”目标；直接创造高端研发、技术及生产岗位，同时间接带动上下游就业；项目将实现高端功能性锦纶纺织材料的自主可控生产，填补省内空白，保障福建省乃至国家纺织鞋服产业链的战略安全，推动福建从规模优势向技术优势和价值优势全面转型。</w:t>
            </w:r>
          </w:p>
          <w:p w14:paraId="68B009F7">
            <w:pPr>
              <w:adjustRightInd w:val="0"/>
              <w:snapToGrid w:val="0"/>
              <w:ind w:firstLine="514" w:firstLineChars="200"/>
              <w:rPr>
                <w:rFonts w:hint="eastAsia" w:ascii="仿宋_GB2312" w:hAnsi="仿宋_GB2312" w:eastAsia="仿宋_GB2312" w:cs="仿宋_GB2312"/>
                <w:sz w:val="24"/>
                <w:u w:val="none"/>
                <w:lang w:eastAsia="zh-CN"/>
              </w:rPr>
            </w:pPr>
            <w:r>
              <w:rPr>
                <w:rFonts w:hint="eastAsia" w:ascii="仿宋_GB2312" w:hAnsi="仿宋_GB2312" w:eastAsia="仿宋_GB2312" w:cs="仿宋_GB2312"/>
                <w:sz w:val="24"/>
                <w:u w:val="none"/>
                <w:lang w:eastAsia="zh-CN"/>
              </w:rPr>
              <w:t>该项目执行期预计</w:t>
            </w:r>
            <w:r>
              <w:rPr>
                <w:rFonts w:hint="eastAsia" w:ascii="仿宋_GB2312" w:hAnsi="仿宋_GB2312" w:eastAsia="仿宋_GB2312" w:cs="仿宋_GB2312"/>
                <w:sz w:val="24"/>
                <w:u w:val="none"/>
                <w:lang w:val="en-US" w:eastAsia="zh-CN"/>
              </w:rPr>
              <w:t>新增产值1.5亿元，新增利润1000万，新增税收500万。</w:t>
            </w:r>
          </w:p>
        </w:tc>
      </w:tr>
      <w:tr w14:paraId="34D077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509" w:hRule="atLeast"/>
          <w:jc w:val="center"/>
        </w:trPr>
        <w:tc>
          <w:tcPr>
            <w:tcW w:w="1039" w:type="dxa"/>
            <w:shd w:val="clear" w:color="auto" w:fill="FFFFFF"/>
            <w:noWrap w:val="0"/>
            <w:vAlign w:val="center"/>
          </w:tcPr>
          <w:p w14:paraId="76C8612B">
            <w:pPr>
              <w:adjustRightInd w:val="0"/>
              <w:snapToGrid w:val="0"/>
              <w:jc w:val="center"/>
              <w:rPr>
                <w:rFonts w:hint="eastAsia" w:ascii="仿宋_GB2312" w:hAnsi="仿宋_GB2312" w:eastAsia="仿宋_GB2312" w:cs="仿宋_GB2312"/>
                <w:sz w:val="24"/>
                <w:u w:val="none"/>
              </w:rPr>
            </w:pPr>
            <w:r>
              <w:rPr>
                <w:rFonts w:hint="eastAsia" w:ascii="仿宋_GB2312" w:hAnsi="仿宋_GB2312" w:eastAsia="仿宋_GB2312" w:cs="仿宋_GB2312"/>
                <w:sz w:val="24"/>
                <w:u w:val="none"/>
              </w:rPr>
              <w:t>成果转化进度安排</w:t>
            </w:r>
          </w:p>
        </w:tc>
        <w:tc>
          <w:tcPr>
            <w:tcW w:w="7926" w:type="dxa"/>
            <w:gridSpan w:val="4"/>
            <w:shd w:val="clear" w:color="auto" w:fill="FFFFFF"/>
            <w:noWrap w:val="0"/>
            <w:vAlign w:val="center"/>
          </w:tcPr>
          <w:p w14:paraId="3583E239">
            <w:pPr>
              <w:adjustRightInd w:val="0"/>
              <w:snapToGrid w:val="0"/>
              <w:ind w:firstLine="514" w:firstLineChars="200"/>
              <w:rPr>
                <w:rFonts w:hint="eastAsia" w:ascii="仿宋_GB2312" w:hAnsi="仿宋_GB2312" w:eastAsia="仿宋_GB2312" w:cs="仿宋_GB2312"/>
                <w:sz w:val="24"/>
                <w:u w:val="none"/>
              </w:rPr>
            </w:pPr>
            <w:r>
              <w:rPr>
                <w:rFonts w:hint="eastAsia" w:ascii="仿宋_GB2312" w:hAnsi="仿宋_GB2312" w:eastAsia="仿宋_GB2312" w:cs="仿宋_GB2312"/>
                <w:sz w:val="24"/>
                <w:u w:val="none"/>
              </w:rPr>
              <w:t>项目转化周期36个月，按照联合研发—中试放大—规模应用推进。第一年完成东华大学核心专利和工艺包导入，依托现有锦纶长丝、加弹及功能纤维开发基础，完成退卷、镶嵌、功能化、在线复合一体化装备的工程设计、关键部件加工、安装调试和安全评估；同步建立纳米纤维功能助剂、工艺窗口、检测方法和样品评价规范，形成抗菌、吸湿速干、防螨等功能长丝小试样品并启动客户验证。第二年进入中试放大和稳定性攻关，围绕连续退卷张力控制、纳米纤维稳定镶嵌、功能层耐洗耐磨、长周期运行一致性等关键环节开展迭代，建成纳米复合锦纶功能长丝中试示范能力，开发多类功能化产品，完成织造和面料端适配。第三年开展规模化应用和标准化推广，完成第三方检测认证、企业标准/行业标准申报、重点客户试用和批量订单导入，在运动健康、安全防护、卫生健康等领域形成可复制应用案例。鑫森合纤具备现成产线、产业链协同和市场入口，可边研发、边中试、边验证，确保项目按期落地。</w:t>
            </w:r>
          </w:p>
        </w:tc>
      </w:tr>
    </w:tbl>
    <w:p w14:paraId="6DE4C0FB">
      <w:pPr>
        <w:pStyle w:val="11"/>
        <w:spacing w:line="600" w:lineRule="exact"/>
        <w:ind w:firstLine="0" w:firstLineChars="0"/>
        <w:jc w:val="center"/>
        <w:rPr>
          <w:rFonts w:hint="eastAsia" w:ascii="方正小标宋简体" w:hAnsi="方正小标宋简体" w:eastAsia="方正小标宋简体" w:cs="方正小标宋简体"/>
          <w:sz w:val="44"/>
          <w:szCs w:val="44"/>
          <w:u w:val="none"/>
        </w:rPr>
      </w:pPr>
    </w:p>
    <w:p w14:paraId="1E391C34">
      <w:pPr>
        <w:pStyle w:val="11"/>
        <w:spacing w:line="600" w:lineRule="exact"/>
        <w:ind w:firstLine="0" w:firstLineChars="0"/>
        <w:jc w:val="center"/>
        <w:rPr>
          <w:rFonts w:hint="eastAsia" w:ascii="方正小标宋简体" w:hAnsi="方正小标宋简体" w:eastAsia="方正小标宋简体" w:cs="方正小标宋简体"/>
          <w:sz w:val="44"/>
          <w:szCs w:val="44"/>
          <w:u w:val="none"/>
          <w:lang w:eastAsia="zh-CN"/>
        </w:rPr>
        <w:sectPr>
          <w:pgSz w:w="11906" w:h="16838"/>
          <w:pgMar w:top="2098" w:right="1531" w:bottom="1984" w:left="1531" w:header="851" w:footer="1417" w:gutter="0"/>
          <w:pgNumType w:fmt="decimal"/>
          <w:cols w:space="0" w:num="1"/>
          <w:titlePg/>
          <w:docGrid w:type="linesAndChars" w:linePitch="579" w:charSpace="3686"/>
        </w:sectPr>
      </w:pPr>
    </w:p>
    <w:p w14:paraId="6839B5AD">
      <w:pPr>
        <w:pStyle w:val="11"/>
        <w:spacing w:line="600" w:lineRule="exact"/>
        <w:ind w:firstLine="0" w:firstLineChars="0"/>
        <w:jc w:val="center"/>
        <w:rPr>
          <w:rFonts w:hint="eastAsia" w:ascii="黑体" w:hAnsi="黑体" w:eastAsia="黑体" w:cs="黑体"/>
          <w:sz w:val="44"/>
          <w:szCs w:val="44"/>
          <w:u w:val="none"/>
        </w:rPr>
      </w:pPr>
      <w:r>
        <w:rPr>
          <w:rFonts w:hint="eastAsia" w:ascii="方正小标宋简体" w:hAnsi="方正小标宋简体" w:eastAsia="方正小标宋简体" w:cs="方正小标宋简体"/>
          <w:sz w:val="44"/>
          <w:szCs w:val="44"/>
          <w:u w:val="none"/>
          <w:lang w:eastAsia="zh-CN"/>
        </w:rPr>
        <w:t>“</w:t>
      </w:r>
      <w:r>
        <w:rPr>
          <w:rFonts w:hint="eastAsia" w:ascii="方正小标宋简体" w:hAnsi="方正小标宋简体" w:eastAsia="方正小标宋简体" w:cs="方正小标宋简体"/>
          <w:sz w:val="44"/>
          <w:szCs w:val="44"/>
          <w:u w:val="none"/>
        </w:rPr>
        <w:t>揭榜挂帅</w:t>
      </w:r>
      <w:r>
        <w:rPr>
          <w:rFonts w:hint="eastAsia" w:ascii="方正小标宋简体" w:hAnsi="方正小标宋简体" w:eastAsia="方正小标宋简体" w:cs="方正小标宋简体"/>
          <w:spacing w:val="-28"/>
          <w:sz w:val="44"/>
          <w:szCs w:val="44"/>
          <w:u w:val="none"/>
        </w:rPr>
        <w:t>”</w:t>
      </w:r>
      <w:r>
        <w:rPr>
          <w:rFonts w:hint="eastAsia" w:ascii="方正小标宋简体" w:hAnsi="方正小标宋简体" w:eastAsia="方正小标宋简体" w:cs="方正小标宋简体"/>
          <w:sz w:val="44"/>
          <w:szCs w:val="44"/>
          <w:u w:val="none"/>
        </w:rPr>
        <w:t>成果转化项目申报材料</w:t>
      </w:r>
    </w:p>
    <w:p w14:paraId="709B82FD">
      <w:pPr>
        <w:pStyle w:val="11"/>
        <w:spacing w:before="312" w:beforeLines="100" w:line="600" w:lineRule="exact"/>
        <w:ind w:firstLine="640"/>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除</w:t>
      </w:r>
      <w:r>
        <w:rPr>
          <w:rFonts w:hint="eastAsia" w:ascii="仿宋_GB2312" w:hAnsi="仿宋_GB2312" w:cs="仿宋_GB2312"/>
          <w:sz w:val="32"/>
          <w:szCs w:val="32"/>
          <w:u w:val="none"/>
          <w:lang w:eastAsia="zh-CN"/>
        </w:rPr>
        <w:t>申报</w:t>
      </w:r>
      <w:r>
        <w:rPr>
          <w:rFonts w:hint="eastAsia" w:ascii="仿宋_GB2312" w:hAnsi="仿宋_GB2312" w:eastAsia="仿宋_GB2312" w:cs="仿宋_GB2312"/>
          <w:sz w:val="32"/>
          <w:szCs w:val="32"/>
          <w:u w:val="none"/>
        </w:rPr>
        <w:t>通知</w:t>
      </w:r>
      <w:r>
        <w:rPr>
          <w:rFonts w:hint="eastAsia" w:ascii="仿宋_GB2312" w:hAnsi="仿宋_GB2312" w:cs="仿宋_GB2312"/>
          <w:sz w:val="32"/>
          <w:szCs w:val="32"/>
          <w:u w:val="none"/>
          <w:lang w:eastAsia="zh-CN"/>
        </w:rPr>
        <w:t>第</w:t>
      </w:r>
      <w:r>
        <w:rPr>
          <w:rFonts w:hint="eastAsia" w:ascii="仿宋_GB2312" w:hAnsi="仿宋_GB2312" w:cs="仿宋_GB2312"/>
          <w:color w:val="auto"/>
          <w:sz w:val="32"/>
          <w:szCs w:val="32"/>
          <w:u w:val="none"/>
          <w:lang w:val="en-US" w:eastAsia="zh-CN"/>
        </w:rPr>
        <w:t>一点</w:t>
      </w:r>
      <w:r>
        <w:rPr>
          <w:rFonts w:hint="eastAsia" w:ascii="仿宋_GB2312" w:hAnsi="仿宋_GB2312" w:eastAsia="仿宋_GB2312" w:cs="仿宋_GB2312"/>
          <w:sz w:val="32"/>
          <w:szCs w:val="32"/>
          <w:u w:val="none"/>
          <w:lang w:eastAsia="zh-CN"/>
        </w:rPr>
        <w:t>中</w:t>
      </w:r>
      <w:r>
        <w:rPr>
          <w:rFonts w:hint="eastAsia" w:ascii="仿宋_GB2312" w:hAnsi="仿宋_GB2312" w:cs="仿宋_GB2312"/>
          <w:color w:val="auto"/>
          <w:sz w:val="32"/>
          <w:szCs w:val="32"/>
          <w:u w:val="none"/>
          <w:lang w:val="en-US" w:eastAsia="zh-CN"/>
        </w:rPr>
        <w:t>（十一）</w:t>
      </w:r>
      <w:r>
        <w:rPr>
          <w:rFonts w:hint="eastAsia" w:ascii="仿宋_GB2312" w:hAnsi="仿宋_GB2312" w:eastAsia="仿宋_GB2312" w:cs="仿宋_GB2312"/>
          <w:sz w:val="32"/>
          <w:szCs w:val="32"/>
          <w:u w:val="none"/>
        </w:rPr>
        <w:t>要求的材料外，申请“揭榜挂帅”成果转化项目还需提交以下材料：</w:t>
      </w:r>
    </w:p>
    <w:p w14:paraId="1E1A9B23">
      <w:pPr>
        <w:pStyle w:val="11"/>
        <w:numPr>
          <w:ilvl w:val="-1"/>
          <w:numId w:val="0"/>
        </w:numPr>
        <w:spacing w:line="600" w:lineRule="exact"/>
        <w:ind w:firstLine="674" w:firstLineChars="200"/>
        <w:rPr>
          <w:rFonts w:hint="eastAsia" w:ascii="仿宋_GB2312" w:hAnsi="仿宋_GB2312" w:eastAsia="仿宋_GB2312" w:cs="仿宋_GB2312"/>
          <w:sz w:val="32"/>
          <w:szCs w:val="32"/>
          <w:u w:val="none"/>
        </w:rPr>
      </w:pPr>
      <w:r>
        <w:rPr>
          <w:rFonts w:hint="eastAsia" w:ascii="仿宋_GB2312" w:hAnsi="仿宋_GB2312" w:cs="仿宋_GB2312"/>
          <w:sz w:val="32"/>
          <w:szCs w:val="32"/>
          <w:u w:val="none"/>
          <w:lang w:eastAsia="zh-CN"/>
        </w:rPr>
        <w:t>（一）</w:t>
      </w:r>
      <w:r>
        <w:rPr>
          <w:rFonts w:hint="eastAsia" w:ascii="仿宋_GB2312" w:hAnsi="仿宋_GB2312" w:eastAsia="仿宋_GB2312" w:cs="仿宋_GB2312"/>
          <w:sz w:val="32"/>
          <w:szCs w:val="32"/>
          <w:u w:val="none"/>
        </w:rPr>
        <w:t>专利证书</w:t>
      </w:r>
    </w:p>
    <w:p w14:paraId="15B2697D">
      <w:pPr>
        <w:pStyle w:val="11"/>
        <w:numPr>
          <w:ilvl w:val="-1"/>
          <w:numId w:val="0"/>
        </w:numPr>
        <w:spacing w:line="600" w:lineRule="exact"/>
        <w:ind w:firstLine="674" w:firstLineChars="200"/>
        <w:rPr>
          <w:rFonts w:hint="eastAsia" w:ascii="仿宋_GB2312" w:hAnsi="仿宋_GB2312" w:eastAsia="仿宋_GB2312" w:cs="仿宋_GB2312"/>
          <w:sz w:val="32"/>
          <w:szCs w:val="32"/>
          <w:u w:val="none"/>
        </w:rPr>
      </w:pPr>
      <w:r>
        <w:rPr>
          <w:rFonts w:hint="eastAsia" w:ascii="仿宋_GB2312" w:hAnsi="仿宋_GB2312" w:cs="仿宋_GB2312"/>
          <w:sz w:val="32"/>
          <w:szCs w:val="32"/>
          <w:u w:val="none"/>
          <w:lang w:eastAsia="zh-CN"/>
        </w:rPr>
        <w:t>（二）</w:t>
      </w:r>
      <w:r>
        <w:rPr>
          <w:rFonts w:hint="eastAsia" w:ascii="仿宋_GB2312" w:hAnsi="仿宋_GB2312" w:cs="仿宋_GB2312"/>
          <w:sz w:val="32"/>
          <w:szCs w:val="32"/>
          <w:u w:val="none"/>
        </w:rPr>
        <w:t>企业上年度审计报告</w:t>
      </w:r>
      <w:r>
        <w:rPr>
          <w:rFonts w:hint="eastAsia" w:ascii="仿宋_GB2312" w:hAnsi="仿宋_GB2312" w:cs="仿宋_GB2312"/>
          <w:sz w:val="32"/>
          <w:szCs w:val="32"/>
          <w:u w:val="none"/>
          <w:lang w:eastAsia="zh-CN"/>
        </w:rPr>
        <w:t>（或上年度财务报表）</w:t>
      </w:r>
    </w:p>
    <w:p w14:paraId="0F3B9052">
      <w:pPr>
        <w:pStyle w:val="11"/>
        <w:spacing w:line="600" w:lineRule="exact"/>
        <w:ind w:firstLine="674" w:firstLineChars="200"/>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w:t>
      </w:r>
      <w:r>
        <w:rPr>
          <w:rFonts w:hint="eastAsia" w:ascii="仿宋_GB2312" w:hAnsi="仿宋_GB2312" w:cs="仿宋_GB2312"/>
          <w:sz w:val="32"/>
          <w:szCs w:val="32"/>
          <w:u w:val="none"/>
          <w:lang w:eastAsia="zh-CN"/>
        </w:rPr>
        <w:t>三</w:t>
      </w:r>
      <w:r>
        <w:rPr>
          <w:rFonts w:hint="eastAsia" w:ascii="仿宋_GB2312" w:hAnsi="仿宋_GB2312" w:eastAsia="仿宋_GB2312" w:cs="仿宋_GB2312"/>
          <w:sz w:val="32"/>
          <w:szCs w:val="32"/>
          <w:u w:val="none"/>
        </w:rPr>
        <w:t>）承诺书（不存在关联交易，项目资助经费单独设账、独立核算，资金投入承诺</w:t>
      </w:r>
      <w:r>
        <w:rPr>
          <w:rFonts w:hint="eastAsia" w:ascii="仿宋_GB2312" w:hAnsi="仿宋_GB2312" w:cs="仿宋_GB2312"/>
          <w:sz w:val="32"/>
          <w:szCs w:val="32"/>
          <w:u w:val="none"/>
          <w:lang w:val="en" w:eastAsia="zh-CN"/>
        </w:rPr>
        <w:t>，</w:t>
      </w:r>
      <w:r>
        <w:rPr>
          <w:rFonts w:hint="eastAsia" w:ascii="仿宋_GB2312" w:hAnsi="仿宋_GB2312" w:cs="仿宋_GB2312"/>
          <w:sz w:val="32"/>
          <w:szCs w:val="32"/>
        </w:rPr>
        <w:t>不存在多头申报和重复申报等</w:t>
      </w:r>
      <w:r>
        <w:rPr>
          <w:rFonts w:hint="eastAsia" w:ascii="仿宋_GB2312" w:hAnsi="仿宋_GB2312" w:eastAsia="仿宋_GB2312" w:cs="仿宋_GB2312"/>
          <w:sz w:val="32"/>
          <w:szCs w:val="32"/>
          <w:u w:val="none"/>
        </w:rPr>
        <w:t>）</w:t>
      </w:r>
    </w:p>
    <w:p w14:paraId="3694424B">
      <w:pPr>
        <w:pStyle w:val="11"/>
        <w:spacing w:line="600" w:lineRule="exact"/>
        <w:ind w:firstLine="674" w:firstLineChars="200"/>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w:t>
      </w:r>
      <w:r>
        <w:rPr>
          <w:rFonts w:hint="eastAsia" w:ascii="仿宋_GB2312" w:hAnsi="仿宋_GB2312" w:cs="仿宋_GB2312"/>
          <w:sz w:val="32"/>
          <w:szCs w:val="32"/>
          <w:u w:val="none"/>
          <w:lang w:eastAsia="zh-CN"/>
        </w:rPr>
        <w:t>四</w:t>
      </w:r>
      <w:r>
        <w:rPr>
          <w:rFonts w:hint="eastAsia" w:ascii="仿宋_GB2312" w:hAnsi="仿宋_GB2312" w:eastAsia="仿宋_GB2312" w:cs="仿宋_GB2312"/>
          <w:sz w:val="32"/>
          <w:szCs w:val="32"/>
          <w:u w:val="none"/>
        </w:rPr>
        <w:t>）企业资质证明材料</w:t>
      </w:r>
    </w:p>
    <w:p w14:paraId="1C056F99">
      <w:pPr>
        <w:pStyle w:val="11"/>
        <w:spacing w:line="600" w:lineRule="exact"/>
        <w:ind w:firstLine="674" w:firstLineChars="200"/>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w:t>
      </w:r>
      <w:r>
        <w:rPr>
          <w:rFonts w:hint="eastAsia" w:ascii="仿宋_GB2312" w:hAnsi="仿宋_GB2312" w:cs="仿宋_GB2312"/>
          <w:sz w:val="32"/>
          <w:szCs w:val="32"/>
          <w:u w:val="none"/>
          <w:lang w:eastAsia="zh-CN"/>
        </w:rPr>
        <w:t>五</w:t>
      </w:r>
      <w:r>
        <w:rPr>
          <w:rFonts w:hint="eastAsia" w:ascii="仿宋_GB2312" w:hAnsi="仿宋_GB2312" w:eastAsia="仿宋_GB2312" w:cs="仿宋_GB2312"/>
          <w:sz w:val="32"/>
          <w:szCs w:val="32"/>
          <w:u w:val="none"/>
        </w:rPr>
        <w:t>）相关附件：</w:t>
      </w:r>
    </w:p>
    <w:p w14:paraId="3EA05523">
      <w:pPr>
        <w:pStyle w:val="11"/>
        <w:spacing w:line="600" w:lineRule="exact"/>
        <w:ind w:firstLine="640"/>
        <w:rPr>
          <w:rFonts w:hint="eastAsia" w:ascii="仿宋_GB2312" w:hAnsi="仿宋_GB2312" w:eastAsia="仿宋_GB2312" w:cs="仿宋_GB2312"/>
          <w:sz w:val="32"/>
          <w:szCs w:val="32"/>
          <w:u w:val="none"/>
        </w:rPr>
      </w:pPr>
      <w:bookmarkStart w:id="7" w:name="OLE_LINK3"/>
      <w:r>
        <w:rPr>
          <w:rFonts w:hint="eastAsia" w:ascii="仿宋_GB2312" w:hAnsi="仿宋_GB2312" w:eastAsia="仿宋_GB2312" w:cs="仿宋_GB2312"/>
          <w:sz w:val="32"/>
          <w:szCs w:val="32"/>
          <w:u w:val="none"/>
        </w:rPr>
        <w:t>1.</w:t>
      </w:r>
      <w:r>
        <w:rPr>
          <w:rFonts w:hint="eastAsia" w:ascii="仿宋_GB2312" w:hAnsi="仿宋_GB2312" w:cs="仿宋_GB2312"/>
          <w:color w:val="auto"/>
          <w:sz w:val="32"/>
          <w:szCs w:val="32"/>
          <w:u w:val="none"/>
          <w:lang w:val="en-US" w:eastAsia="zh-CN"/>
        </w:rPr>
        <w:t>技术转让/许可合同，技术转让/许可金额</w:t>
      </w:r>
      <w:r>
        <w:rPr>
          <w:rFonts w:hint="eastAsia" w:ascii="仿宋_GB2312" w:hAnsi="仿宋_GB2312" w:cs="仿宋_GB2312"/>
          <w:color w:val="auto"/>
          <w:sz w:val="32"/>
          <w:szCs w:val="32"/>
          <w:highlight w:val="none"/>
          <w:u w:val="none"/>
          <w:lang w:val="en-US" w:eastAsia="zh-CN"/>
        </w:rPr>
        <w:t>不低于200万元（含200万元）</w:t>
      </w:r>
      <w:bookmarkEnd w:id="7"/>
      <w:r>
        <w:rPr>
          <w:rFonts w:hint="eastAsia" w:ascii="仿宋_GB2312" w:hAnsi="仿宋_GB2312" w:eastAsia="仿宋_GB2312" w:cs="仿宋_GB2312"/>
          <w:sz w:val="32"/>
          <w:szCs w:val="32"/>
          <w:u w:val="none"/>
        </w:rPr>
        <w:t>；</w:t>
      </w:r>
    </w:p>
    <w:p w14:paraId="2A6E69E5">
      <w:pPr>
        <w:pStyle w:val="11"/>
        <w:spacing w:line="600" w:lineRule="exact"/>
        <w:ind w:firstLine="640"/>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2.技术合同认定登记证明；</w:t>
      </w:r>
    </w:p>
    <w:p w14:paraId="3F21D58A">
      <w:pPr>
        <w:pStyle w:val="11"/>
        <w:spacing w:line="600" w:lineRule="exact"/>
        <w:ind w:firstLine="640"/>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3.技术交易发票及</w:t>
      </w:r>
      <w:r>
        <w:rPr>
          <w:rFonts w:hint="eastAsia" w:ascii="仿宋_GB2312" w:hAnsi="仿宋_GB2312" w:cs="仿宋_GB2312"/>
          <w:sz w:val="32"/>
          <w:szCs w:val="32"/>
          <w:u w:val="none"/>
        </w:rPr>
        <w:t>收</w:t>
      </w:r>
      <w:r>
        <w:rPr>
          <w:rFonts w:hint="eastAsia" w:ascii="仿宋_GB2312" w:hAnsi="仿宋_GB2312" w:eastAsia="仿宋_GB2312" w:cs="仿宋_GB2312"/>
          <w:sz w:val="32"/>
          <w:szCs w:val="32"/>
          <w:u w:val="none"/>
        </w:rPr>
        <w:t>付凭证；</w:t>
      </w:r>
    </w:p>
    <w:p w14:paraId="65A00137">
      <w:pPr>
        <w:pStyle w:val="11"/>
        <w:spacing w:line="600" w:lineRule="exact"/>
        <w:ind w:firstLine="640"/>
        <w:rPr>
          <w:rFonts w:hint="eastAsia" w:ascii="仿宋_GB2312" w:hAnsi="仿宋_GB2312" w:eastAsia="仿宋_GB2312" w:cs="仿宋_GB2312"/>
          <w:sz w:val="32"/>
          <w:szCs w:val="32"/>
          <w:highlight w:val="yellow"/>
          <w:u w:val="none"/>
        </w:rPr>
      </w:pPr>
      <w:r>
        <w:rPr>
          <w:rFonts w:hint="eastAsia" w:ascii="仿宋_GB2312" w:hAnsi="仿宋_GB2312" w:eastAsia="仿宋_GB2312" w:cs="仿宋_GB2312"/>
          <w:sz w:val="32"/>
          <w:szCs w:val="32"/>
          <w:u w:val="none"/>
        </w:rPr>
        <w:t>4.成果以技术转让方式转化的，提交专利变更手续合格通知书；</w:t>
      </w:r>
    </w:p>
    <w:p w14:paraId="60FD92AD">
      <w:pPr>
        <w:pStyle w:val="11"/>
        <w:spacing w:line="600" w:lineRule="exact"/>
        <w:ind w:firstLine="640"/>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5.上述材料1-4的签订或完成时间应不早于省科技厅征集成果转化项目意向转化方通知的发布时间。</w:t>
      </w:r>
    </w:p>
    <w:p w14:paraId="77218EFD">
      <w:pPr>
        <w:pStyle w:val="11"/>
        <w:spacing w:line="600" w:lineRule="exact"/>
        <w:ind w:firstLine="640"/>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6.如</w:t>
      </w:r>
      <w:bookmarkStart w:id="8" w:name="OLE_LINK1"/>
      <w:r>
        <w:rPr>
          <w:rFonts w:hint="eastAsia" w:ascii="仿宋_GB2312" w:hAnsi="仿宋_GB2312" w:eastAsia="仿宋_GB2312" w:cs="仿宋_GB2312"/>
          <w:sz w:val="32"/>
          <w:szCs w:val="32"/>
          <w:u w:val="none"/>
        </w:rPr>
        <w:t>技术交易费用</w:t>
      </w:r>
      <w:bookmarkEnd w:id="8"/>
      <w:r>
        <w:rPr>
          <w:rFonts w:hint="eastAsia" w:ascii="仿宋_GB2312" w:hAnsi="仿宋_GB2312" w:eastAsia="仿宋_GB2312" w:cs="仿宋_GB2312"/>
          <w:sz w:val="32"/>
          <w:szCs w:val="32"/>
          <w:u w:val="none"/>
        </w:rPr>
        <w:t>分阶段支付：</w:t>
      </w:r>
    </w:p>
    <w:p w14:paraId="3D78D61E">
      <w:pPr>
        <w:pStyle w:val="11"/>
        <w:spacing w:line="600" w:lineRule="exact"/>
        <w:ind w:firstLine="505" w:firstLineChars="150"/>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（1）揭榜时，支付技术交易费用不低于合同总金额的40%；</w:t>
      </w:r>
    </w:p>
    <w:p w14:paraId="3EED0207">
      <w:pPr>
        <w:pStyle w:val="11"/>
        <w:spacing w:line="600" w:lineRule="exact"/>
        <w:ind w:firstLine="505" w:firstLineChars="150"/>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（2）至项目中期评估时，已支付的技术交易费用不低于合同总金额的90%；</w:t>
      </w:r>
    </w:p>
    <w:p w14:paraId="4E592D89">
      <w:pPr>
        <w:pStyle w:val="11"/>
        <w:spacing w:line="600" w:lineRule="exact"/>
        <w:ind w:firstLine="505" w:firstLineChars="150"/>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sz w:val="32"/>
          <w:szCs w:val="32"/>
          <w:u w:val="none"/>
        </w:rPr>
        <w:t>（3）项目验收时，技术交易费用应全额</w:t>
      </w:r>
      <w:r>
        <w:rPr>
          <w:rFonts w:hint="eastAsia" w:ascii="仿宋_GB2312" w:hAnsi="仿宋_GB2312" w:eastAsia="仿宋_GB2312" w:cs="仿宋_GB2312"/>
          <w:color w:val="auto"/>
          <w:sz w:val="32"/>
          <w:szCs w:val="32"/>
          <w:u w:val="none"/>
        </w:rPr>
        <w:t>支付完毕</w:t>
      </w:r>
      <w:r>
        <w:rPr>
          <w:rFonts w:hint="eastAsia" w:ascii="仿宋_GB2312" w:hAnsi="仿宋_GB2312" w:cs="仿宋_GB2312"/>
          <w:color w:val="auto"/>
          <w:sz w:val="32"/>
          <w:szCs w:val="32"/>
          <w:u w:val="none"/>
          <w:lang w:eastAsia="zh-CN"/>
        </w:rPr>
        <w:t>，</w:t>
      </w:r>
      <w:r>
        <w:rPr>
          <w:rFonts w:hint="eastAsia" w:ascii="Times New Roman" w:hAnsi="Times New Roman" w:cs="Times New Roman"/>
          <w:color w:val="auto"/>
          <w:sz w:val="32"/>
          <w:szCs w:val="32"/>
          <w:u w:val="none"/>
          <w:lang w:eastAsia="zh-CN"/>
        </w:rPr>
        <w:t>有特殊约定除外</w:t>
      </w:r>
      <w:r>
        <w:rPr>
          <w:rFonts w:hint="eastAsia" w:ascii="仿宋_GB2312" w:hAnsi="仿宋_GB2312" w:eastAsia="仿宋_GB2312" w:cs="仿宋_GB2312"/>
          <w:color w:val="auto"/>
          <w:sz w:val="32"/>
          <w:szCs w:val="32"/>
          <w:u w:val="none"/>
        </w:rPr>
        <w:t>。</w:t>
      </w:r>
    </w:p>
    <w:p w14:paraId="16D93170">
      <w:pPr>
        <w:pStyle w:val="9"/>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u w:val="none"/>
          <w:lang w:val="en-US" w:eastAsia="zh-CN"/>
        </w:rPr>
      </w:pPr>
    </w:p>
    <w:p w14:paraId="03633716">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u w:val="none"/>
          <w:lang w:val="en-US" w:eastAsia="zh-CN"/>
        </w:rPr>
      </w:pPr>
    </w:p>
    <w:p w14:paraId="1AD69E7B">
      <w:pPr>
        <w:pStyle w:val="8"/>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u w:val="none"/>
          <w:lang w:val="en-US" w:eastAsia="zh-CN"/>
        </w:rPr>
      </w:pPr>
    </w:p>
    <w:p w14:paraId="303E38F2">
      <w:pPr>
        <w:pStyle w:val="8"/>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u w:val="none"/>
          <w:lang w:val="en-US" w:eastAsia="zh-CN"/>
        </w:rPr>
      </w:pPr>
    </w:p>
    <w:p w14:paraId="4BA9F926">
      <w:pPr>
        <w:pStyle w:val="8"/>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u w:val="none"/>
          <w:lang w:val="en-US" w:eastAsia="zh-CN"/>
        </w:rPr>
      </w:pPr>
    </w:p>
    <w:p w14:paraId="0E0A2A1E">
      <w:pPr>
        <w:pStyle w:val="8"/>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u w:val="none"/>
          <w:lang w:val="en-US" w:eastAsia="zh-CN"/>
        </w:rPr>
      </w:pPr>
    </w:p>
    <w:p w14:paraId="6BF59F3C">
      <w:pPr>
        <w:pStyle w:val="8"/>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u w:val="none"/>
          <w:lang w:val="en-US" w:eastAsia="zh-CN"/>
        </w:rPr>
      </w:pPr>
    </w:p>
    <w:p w14:paraId="6E12C040">
      <w:pPr>
        <w:pStyle w:val="8"/>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u w:val="none"/>
          <w:lang w:val="en-US" w:eastAsia="zh-CN"/>
        </w:rPr>
      </w:pPr>
    </w:p>
    <w:p w14:paraId="00D03757">
      <w:pPr>
        <w:pStyle w:val="8"/>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u w:val="none"/>
          <w:lang w:val="en-US" w:eastAsia="zh-CN"/>
        </w:rPr>
      </w:pPr>
    </w:p>
    <w:p w14:paraId="137EAC6C">
      <w:pPr>
        <w:pStyle w:val="8"/>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u w:val="none"/>
          <w:lang w:val="en-US" w:eastAsia="zh-CN"/>
        </w:rPr>
      </w:pPr>
    </w:p>
    <w:p w14:paraId="322378C0">
      <w:pPr>
        <w:pStyle w:val="8"/>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u w:val="none"/>
          <w:lang w:val="en-US" w:eastAsia="zh-CN"/>
        </w:rPr>
      </w:pPr>
    </w:p>
    <w:p w14:paraId="793AF614">
      <w:pPr>
        <w:pStyle w:val="8"/>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u w:val="none"/>
          <w:lang w:val="en-US" w:eastAsia="zh-CN"/>
        </w:rPr>
      </w:pPr>
    </w:p>
    <w:p w14:paraId="29A33D3B">
      <w:pPr>
        <w:pStyle w:val="8"/>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u w:val="none"/>
          <w:lang w:val="en-US" w:eastAsia="zh-CN"/>
        </w:rPr>
      </w:pPr>
    </w:p>
    <w:p w14:paraId="4DBDCCEB">
      <w:pPr>
        <w:pStyle w:val="8"/>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u w:val="none"/>
          <w:lang w:val="en-US" w:eastAsia="zh-CN"/>
        </w:rPr>
      </w:pPr>
    </w:p>
    <w:p w14:paraId="245C5A22">
      <w:pPr>
        <w:pStyle w:val="8"/>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u w:val="none"/>
          <w:lang w:val="en-US" w:eastAsia="zh-CN"/>
        </w:rPr>
      </w:pPr>
    </w:p>
    <w:p w14:paraId="4516032F">
      <w:pPr>
        <w:pStyle w:val="8"/>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u w:val="none"/>
          <w:lang w:val="en-US" w:eastAsia="zh-CN"/>
        </w:rPr>
      </w:pPr>
    </w:p>
    <w:p w14:paraId="74B993F3">
      <w:pPr>
        <w:pStyle w:val="8"/>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u w:val="none"/>
          <w:lang w:val="en-US" w:eastAsia="zh-CN"/>
        </w:rPr>
      </w:pPr>
    </w:p>
    <w:p w14:paraId="4921A691">
      <w:pPr>
        <w:pStyle w:val="8"/>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u w:val="none"/>
          <w:lang w:val="en-US" w:eastAsia="zh-CN"/>
        </w:rPr>
      </w:pPr>
      <w:r>
        <w:rPr>
          <w:rFonts w:hint="eastAsia" w:ascii="黑体" w:hAnsi="黑体" w:eastAsia="黑体" w:cs="黑体"/>
          <w:u w:val="none"/>
          <w:lang w:val="en-US" w:eastAsia="zh-CN"/>
        </w:rPr>
        <w:t>附件2</w:t>
      </w:r>
    </w:p>
    <w:p w14:paraId="646AB088">
      <w:pPr>
        <w:pStyle w:val="9"/>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_GBK" w:hAnsi="方正小标宋_GBK" w:eastAsia="方正小标宋_GBK" w:cs="方正小标宋_GBK"/>
          <w:sz w:val="44"/>
          <w:szCs w:val="44"/>
          <w:u w:val="none"/>
          <w:lang w:eastAsia="zh-CN"/>
        </w:rPr>
      </w:pPr>
      <w:r>
        <w:rPr>
          <w:rFonts w:hint="eastAsia" w:ascii="方正小标宋_GBK" w:hAnsi="方正小标宋_GBK" w:eastAsia="方正小标宋_GBK" w:cs="方正小标宋_GBK"/>
          <w:sz w:val="44"/>
          <w:szCs w:val="44"/>
          <w:u w:val="none"/>
          <w:lang w:eastAsia="zh-CN"/>
        </w:rPr>
        <w:t>202</w:t>
      </w:r>
      <w:r>
        <w:rPr>
          <w:rFonts w:hint="eastAsia" w:ascii="方正小标宋_GBK" w:hAnsi="方正小标宋_GBK" w:eastAsia="方正小标宋_GBK" w:cs="方正小标宋_GBK"/>
          <w:sz w:val="44"/>
          <w:szCs w:val="44"/>
          <w:u w:val="none"/>
          <w:lang w:val="en-US" w:eastAsia="zh-CN"/>
        </w:rPr>
        <w:t>6</w:t>
      </w:r>
      <w:r>
        <w:rPr>
          <w:rFonts w:hint="eastAsia" w:ascii="方正小标宋_GBK" w:hAnsi="方正小标宋_GBK" w:eastAsia="方正小标宋_GBK" w:cs="方正小标宋_GBK"/>
          <w:sz w:val="44"/>
          <w:szCs w:val="44"/>
          <w:u w:val="none"/>
          <w:lang w:eastAsia="zh-CN"/>
        </w:rPr>
        <w:t>年度省科技重大专项项目申报选题表</w:t>
      </w:r>
    </w:p>
    <w:p w14:paraId="7270F663">
      <w:pPr>
        <w:jc w:val="center"/>
        <w:rPr>
          <w:rFonts w:hint="default" w:ascii="黑体" w:hAnsi="黑体" w:eastAsia="黑体" w:cs="黑体"/>
          <w:sz w:val="32"/>
          <w:szCs w:val="32"/>
          <w:u w:val="none"/>
          <w:lang w:val="en-US" w:eastAsia="zh-CN"/>
        </w:rPr>
      </w:pPr>
      <w:r>
        <w:rPr>
          <w:rFonts w:hint="eastAsia" w:ascii="黑体" w:hAnsi="黑体" w:eastAsia="黑体" w:cs="黑体"/>
          <w:sz w:val="32"/>
          <w:szCs w:val="32"/>
          <w:u w:val="none"/>
        </w:rPr>
        <w:t>科技重大专项申报选题表（一）指南代码</w:t>
      </w:r>
      <w:r>
        <w:rPr>
          <w:rFonts w:ascii="黑体" w:hAnsi="黑体" w:eastAsia="黑体" w:cs="黑体"/>
          <w:sz w:val="32"/>
          <w:szCs w:val="32"/>
          <w:u w:val="none"/>
        </w:rPr>
        <w:t>202</w:t>
      </w:r>
      <w:r>
        <w:rPr>
          <w:rFonts w:hint="eastAsia" w:ascii="黑体" w:hAnsi="黑体" w:eastAsia="黑体" w:cs="黑体"/>
          <w:sz w:val="32"/>
          <w:szCs w:val="32"/>
          <w:u w:val="none"/>
          <w:lang w:val="en-US" w:eastAsia="zh-CN"/>
        </w:rPr>
        <w:t>6HZ0101</w:t>
      </w:r>
    </w:p>
    <w:tbl>
      <w:tblPr>
        <w:tblStyle w:val="12"/>
        <w:tblW w:w="9429" w:type="dxa"/>
        <w:tblInd w:w="-1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70"/>
        <w:gridCol w:w="1314"/>
        <w:gridCol w:w="3742"/>
        <w:gridCol w:w="1447"/>
        <w:gridCol w:w="1556"/>
      </w:tblGrid>
      <w:tr w14:paraId="39190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9" w:hRule="atLeast"/>
        </w:trPr>
        <w:tc>
          <w:tcPr>
            <w:tcW w:w="1370" w:type="dxa"/>
            <w:tcBorders>
              <w:top w:val="single" w:color="auto" w:sz="4" w:space="0"/>
              <w:left w:val="single" w:color="auto" w:sz="4" w:space="0"/>
              <w:bottom w:val="single" w:color="auto" w:sz="4" w:space="0"/>
              <w:right w:val="single" w:color="auto" w:sz="4" w:space="0"/>
            </w:tcBorders>
            <w:vAlign w:val="center"/>
          </w:tcPr>
          <w:p w14:paraId="00C6E12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bCs/>
                <w:kern w:val="0"/>
                <w:sz w:val="24"/>
                <w:u w:val="none"/>
              </w:rPr>
            </w:pPr>
            <w:r>
              <w:rPr>
                <w:rFonts w:hint="eastAsia" w:ascii="黑体" w:hAnsi="黑体" w:eastAsia="黑体" w:cs="黑体"/>
                <w:bCs/>
                <w:kern w:val="0"/>
                <w:sz w:val="24"/>
                <w:u w:val="none"/>
              </w:rPr>
              <w:t>所属重大专项名称</w:t>
            </w:r>
          </w:p>
        </w:tc>
        <w:tc>
          <w:tcPr>
            <w:tcW w:w="1314" w:type="dxa"/>
            <w:tcBorders>
              <w:top w:val="single" w:color="auto" w:sz="4" w:space="0"/>
              <w:left w:val="single" w:color="auto" w:sz="4" w:space="0"/>
              <w:bottom w:val="single" w:color="auto" w:sz="4" w:space="0"/>
              <w:right w:val="single" w:color="auto" w:sz="4" w:space="0"/>
            </w:tcBorders>
            <w:vAlign w:val="center"/>
          </w:tcPr>
          <w:p w14:paraId="48ADE1E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sz w:val="24"/>
                <w:u w:val="none"/>
              </w:rPr>
            </w:pPr>
            <w:r>
              <w:rPr>
                <w:rFonts w:hint="eastAsia" w:ascii="黑体" w:hAnsi="黑体" w:eastAsia="黑体" w:cs="黑体"/>
                <w:sz w:val="24"/>
                <w:u w:val="none"/>
              </w:rPr>
              <w:t>选题</w:t>
            </w:r>
          </w:p>
          <w:p w14:paraId="147EE45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sz w:val="24"/>
                <w:u w:val="none"/>
              </w:rPr>
            </w:pPr>
            <w:r>
              <w:rPr>
                <w:rFonts w:hint="eastAsia" w:ascii="黑体" w:hAnsi="黑体" w:eastAsia="黑体" w:cs="黑体"/>
                <w:sz w:val="24"/>
                <w:u w:val="none"/>
              </w:rPr>
              <w:t>方向</w:t>
            </w:r>
          </w:p>
        </w:tc>
        <w:tc>
          <w:tcPr>
            <w:tcW w:w="3742" w:type="dxa"/>
            <w:tcBorders>
              <w:top w:val="single" w:color="auto" w:sz="4" w:space="0"/>
              <w:left w:val="single" w:color="auto" w:sz="4" w:space="0"/>
              <w:bottom w:val="single" w:color="auto" w:sz="4" w:space="0"/>
              <w:right w:val="single" w:color="auto" w:sz="4" w:space="0"/>
            </w:tcBorders>
            <w:vAlign w:val="center"/>
          </w:tcPr>
          <w:p w14:paraId="2CFA412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sz w:val="24"/>
                <w:u w:val="none"/>
              </w:rPr>
            </w:pPr>
            <w:r>
              <w:rPr>
                <w:rFonts w:hint="eastAsia" w:ascii="黑体" w:hAnsi="黑体" w:eastAsia="黑体" w:cs="黑体"/>
                <w:sz w:val="24"/>
                <w:u w:val="none"/>
              </w:rPr>
              <w:t>选题方向重点内容</w:t>
            </w:r>
          </w:p>
        </w:tc>
        <w:tc>
          <w:tcPr>
            <w:tcW w:w="1447" w:type="dxa"/>
            <w:tcBorders>
              <w:top w:val="single" w:color="auto" w:sz="4" w:space="0"/>
              <w:left w:val="single" w:color="auto" w:sz="4" w:space="0"/>
              <w:bottom w:val="single" w:color="auto" w:sz="4" w:space="0"/>
              <w:right w:val="single" w:color="auto" w:sz="4" w:space="0"/>
            </w:tcBorders>
            <w:vAlign w:val="center"/>
          </w:tcPr>
          <w:p w14:paraId="7F98837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sz w:val="24"/>
                <w:u w:val="none"/>
              </w:rPr>
            </w:pPr>
            <w:r>
              <w:rPr>
                <w:rFonts w:hint="eastAsia" w:ascii="黑体" w:hAnsi="黑体" w:eastAsia="黑体" w:cs="黑体"/>
                <w:sz w:val="24"/>
                <w:u w:val="none"/>
                <w:lang w:eastAsia="zh-CN"/>
              </w:rPr>
              <w:t>最高</w:t>
            </w:r>
            <w:r>
              <w:rPr>
                <w:rFonts w:hint="eastAsia" w:ascii="黑体" w:hAnsi="黑体" w:eastAsia="黑体" w:cs="黑体"/>
                <w:sz w:val="24"/>
                <w:u w:val="none"/>
              </w:rPr>
              <w:t>申请资助经费</w:t>
            </w:r>
          </w:p>
          <w:p w14:paraId="43DE95F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sz w:val="24"/>
                <w:u w:val="none"/>
              </w:rPr>
            </w:pPr>
            <w:r>
              <w:rPr>
                <w:rFonts w:hint="eastAsia" w:ascii="黑体" w:hAnsi="黑体" w:eastAsia="黑体" w:cs="黑体"/>
                <w:sz w:val="24"/>
                <w:u w:val="none"/>
              </w:rPr>
              <w:t>（万元）</w:t>
            </w:r>
          </w:p>
        </w:tc>
        <w:tc>
          <w:tcPr>
            <w:tcW w:w="1556" w:type="dxa"/>
            <w:tcBorders>
              <w:top w:val="single" w:color="auto" w:sz="4" w:space="0"/>
              <w:left w:val="single" w:color="auto" w:sz="4" w:space="0"/>
              <w:bottom w:val="single" w:color="auto" w:sz="4" w:space="0"/>
              <w:right w:val="single" w:color="auto" w:sz="4" w:space="0"/>
            </w:tcBorders>
            <w:vAlign w:val="center"/>
          </w:tcPr>
          <w:p w14:paraId="43F5A49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sz w:val="24"/>
                <w:u w:val="none"/>
              </w:rPr>
            </w:pPr>
            <w:r>
              <w:rPr>
                <w:rFonts w:hint="eastAsia" w:ascii="仿宋_GB2312" w:hAnsi="仿宋_GB2312" w:eastAsia="仿宋_GB2312" w:cs="仿宋_GB2312"/>
                <w:b/>
                <w:sz w:val="24"/>
                <w:u w:val="none"/>
              </w:rPr>
              <w:t>要求</w:t>
            </w:r>
          </w:p>
        </w:tc>
      </w:tr>
      <w:tr w14:paraId="35C45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9" w:hRule="atLeast"/>
        </w:trPr>
        <w:tc>
          <w:tcPr>
            <w:tcW w:w="1370" w:type="dxa"/>
            <w:tcBorders>
              <w:top w:val="single" w:color="auto" w:sz="4" w:space="0"/>
              <w:left w:val="single" w:color="auto" w:sz="4" w:space="0"/>
              <w:bottom w:val="single" w:color="auto" w:sz="4" w:space="0"/>
              <w:right w:val="single" w:color="auto" w:sz="4" w:space="0"/>
            </w:tcBorders>
            <w:vAlign w:val="center"/>
          </w:tcPr>
          <w:p w14:paraId="36E6565F">
            <w:pPr>
              <w:widowControl/>
              <w:spacing w:line="300" w:lineRule="exact"/>
              <w:jc w:val="center"/>
              <w:rPr>
                <w:rFonts w:hint="eastAsia" w:ascii="仿宋_GB2312" w:hAnsi="仿宋_GB2312" w:eastAsia="仿宋_GB2312" w:cs="仿宋_GB2312"/>
                <w:color w:val="auto"/>
                <w:sz w:val="24"/>
                <w:szCs w:val="24"/>
                <w:u w:val="none"/>
              </w:rPr>
            </w:pPr>
            <w:r>
              <w:rPr>
                <w:rFonts w:hint="eastAsia" w:ascii="仿宋_GB2312" w:hAnsi="仿宋_GB2312" w:eastAsia="仿宋_GB2312" w:cs="仿宋_GB2312"/>
                <w:color w:val="auto"/>
                <w:sz w:val="24"/>
                <w:szCs w:val="24"/>
                <w:u w:val="none"/>
              </w:rPr>
              <w:t>先进化工</w:t>
            </w:r>
          </w:p>
          <w:p w14:paraId="128CA0E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宋体" w:eastAsia="仿宋_GB2312" w:cs="宋体"/>
                <w:bCs/>
                <w:kern w:val="0"/>
                <w:sz w:val="24"/>
                <w:u w:val="none"/>
              </w:rPr>
            </w:pPr>
            <w:r>
              <w:rPr>
                <w:rFonts w:hint="eastAsia" w:ascii="仿宋_GB2312" w:hAnsi="仿宋_GB2312" w:eastAsia="仿宋_GB2312" w:cs="仿宋_GB2312"/>
                <w:color w:val="auto"/>
                <w:sz w:val="24"/>
                <w:szCs w:val="24"/>
                <w:u w:val="none"/>
              </w:rPr>
              <w:t>材料</w:t>
            </w:r>
          </w:p>
        </w:tc>
        <w:tc>
          <w:tcPr>
            <w:tcW w:w="1314" w:type="dxa"/>
            <w:tcBorders>
              <w:top w:val="single" w:color="auto" w:sz="4" w:space="0"/>
              <w:left w:val="single" w:color="auto" w:sz="4" w:space="0"/>
              <w:bottom w:val="single" w:color="auto" w:sz="4" w:space="0"/>
              <w:right w:val="single" w:color="auto" w:sz="4" w:space="0"/>
            </w:tcBorders>
            <w:vAlign w:val="center"/>
          </w:tcPr>
          <w:p w14:paraId="45BF7F0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eastAsia="仿宋_GB2312"/>
                <w:sz w:val="24"/>
                <w:u w:val="none"/>
              </w:rPr>
            </w:pPr>
            <w:r>
              <w:rPr>
                <w:rFonts w:hint="eastAsia" w:ascii="仿宋_GB2312" w:hAnsi="Times New Roman" w:eastAsia="仿宋_GB2312" w:cs="Times New Roman"/>
                <w:sz w:val="24"/>
                <w:u w:val="none"/>
              </w:rPr>
              <w:t>新型含氟电子特气的绿色制造工艺研究及产业化</w:t>
            </w:r>
          </w:p>
        </w:tc>
        <w:tc>
          <w:tcPr>
            <w:tcW w:w="3742" w:type="dxa"/>
            <w:tcBorders>
              <w:top w:val="single" w:color="auto" w:sz="4" w:space="0"/>
              <w:left w:val="single" w:color="auto" w:sz="4" w:space="0"/>
              <w:bottom w:val="single" w:color="auto" w:sz="4" w:space="0"/>
              <w:right w:val="single" w:color="auto" w:sz="4" w:space="0"/>
            </w:tcBorders>
            <w:vAlign w:val="center"/>
          </w:tcPr>
          <w:p w14:paraId="0A3B9B2D">
            <w:pPr>
              <w:keepNext w:val="0"/>
              <w:keepLines w:val="0"/>
              <w:pageBreakBefore w:val="0"/>
              <w:widowControl w:val="0"/>
              <w:kinsoku/>
              <w:wordWrap/>
              <w:overflowPunct/>
              <w:topLinePunct w:val="0"/>
              <w:autoSpaceDE/>
              <w:autoSpaceDN/>
              <w:bidi w:val="0"/>
              <w:adjustRightInd/>
              <w:snapToGrid/>
              <w:spacing w:line="400" w:lineRule="exact"/>
              <w:ind w:firstLine="514" w:firstLineChars="200"/>
              <w:textAlignment w:val="auto"/>
              <w:rPr>
                <w:rFonts w:hint="eastAsia" w:ascii="仿宋_GB2312" w:hAnsi="仿宋_GB2312" w:eastAsia="仿宋_GB2312" w:cs="仿宋_GB2312"/>
                <w:b/>
                <w:bCs w:val="0"/>
                <w:sz w:val="24"/>
                <w:u w:val="none"/>
              </w:rPr>
            </w:pPr>
            <w:r>
              <w:rPr>
                <w:rFonts w:hint="eastAsia" w:ascii="仿宋_GB2312" w:hAnsi="仿宋_GB2312" w:eastAsia="仿宋_GB2312" w:cs="仿宋_GB2312"/>
                <w:b/>
                <w:bCs w:val="0"/>
                <w:sz w:val="24"/>
                <w:u w:val="none"/>
              </w:rPr>
              <w:t>一、技术难题</w:t>
            </w:r>
          </w:p>
          <w:p w14:paraId="419CDF91">
            <w:pPr>
              <w:keepNext w:val="0"/>
              <w:keepLines w:val="0"/>
              <w:pageBreakBefore w:val="0"/>
              <w:widowControl w:val="0"/>
              <w:kinsoku/>
              <w:wordWrap/>
              <w:overflowPunct/>
              <w:topLinePunct w:val="0"/>
              <w:autoSpaceDE/>
              <w:autoSpaceDN/>
              <w:bidi w:val="0"/>
              <w:adjustRightInd/>
              <w:snapToGrid/>
              <w:spacing w:line="400" w:lineRule="exact"/>
              <w:ind w:firstLine="514" w:firstLineChars="200"/>
              <w:textAlignment w:val="auto"/>
              <w:rPr>
                <w:rFonts w:hint="eastAsia" w:ascii="仿宋_GB2312" w:hAnsi="Times New Roman" w:eastAsia="仿宋_GB2312" w:cs="Times New Roman"/>
                <w:sz w:val="24"/>
                <w:u w:val="none"/>
                <w:lang w:val="en-US" w:eastAsia="zh-CN"/>
              </w:rPr>
            </w:pPr>
            <w:r>
              <w:rPr>
                <w:rFonts w:hint="eastAsia" w:ascii="仿宋_GB2312" w:hAnsi="Times New Roman" w:eastAsia="仿宋_GB2312" w:cs="Times New Roman"/>
                <w:sz w:val="24"/>
                <w:u w:val="none"/>
                <w:lang w:val="en-US" w:eastAsia="zh-CN"/>
              </w:rPr>
              <w:t>含氟电子特气是精细化工、半导体制造与高纯分离技术交叉的战略性新兴领域。然而，我国在该领域面临严峻技术瓶颈，特别是电子级三氟化磷、五氟化砷的高纯合成、提纯精制、稳定储运等核心环节受制于人；下游产物六氟砷酸锂相关可控合成技术同样存在短板，严重制约氟化工产业安全自主可控发展。</w:t>
            </w:r>
          </w:p>
          <w:p w14:paraId="62A813C2">
            <w:pPr>
              <w:keepNext w:val="0"/>
              <w:keepLines w:val="0"/>
              <w:pageBreakBefore w:val="0"/>
              <w:widowControl w:val="0"/>
              <w:kinsoku/>
              <w:wordWrap/>
              <w:overflowPunct/>
              <w:topLinePunct w:val="0"/>
              <w:autoSpaceDE/>
              <w:autoSpaceDN/>
              <w:bidi w:val="0"/>
              <w:adjustRightInd/>
              <w:snapToGrid/>
              <w:spacing w:line="400" w:lineRule="exact"/>
              <w:ind w:firstLine="514" w:firstLineChars="200"/>
              <w:textAlignment w:val="auto"/>
              <w:rPr>
                <w:rFonts w:hint="eastAsia" w:ascii="仿宋_GB2312" w:hAnsi="仿宋_GB2312" w:eastAsia="仿宋_GB2312" w:cs="仿宋_GB2312"/>
                <w:b/>
                <w:bCs w:val="0"/>
                <w:sz w:val="24"/>
                <w:u w:val="none"/>
              </w:rPr>
            </w:pPr>
            <w:r>
              <w:rPr>
                <w:rFonts w:hint="eastAsia" w:ascii="仿宋_GB2312" w:hAnsi="仿宋_GB2312" w:eastAsia="仿宋_GB2312" w:cs="仿宋_GB2312"/>
                <w:b/>
                <w:bCs w:val="0"/>
                <w:sz w:val="24"/>
                <w:u w:val="none"/>
              </w:rPr>
              <w:t>二、主要研究内容</w:t>
            </w:r>
          </w:p>
          <w:p w14:paraId="7004C771">
            <w:pPr>
              <w:keepNext w:val="0"/>
              <w:keepLines w:val="0"/>
              <w:pageBreakBefore w:val="0"/>
              <w:widowControl w:val="0"/>
              <w:kinsoku/>
              <w:wordWrap/>
              <w:overflowPunct/>
              <w:topLinePunct w:val="0"/>
              <w:autoSpaceDE/>
              <w:autoSpaceDN/>
              <w:bidi w:val="0"/>
              <w:adjustRightInd/>
              <w:snapToGrid/>
              <w:spacing w:line="400" w:lineRule="exact"/>
              <w:ind w:firstLine="514" w:firstLineChars="200"/>
              <w:textAlignment w:val="auto"/>
              <w:rPr>
                <w:rFonts w:hint="eastAsia" w:ascii="仿宋_GB2312" w:hAnsi="Times New Roman" w:eastAsia="仿宋_GB2312" w:cs="Times New Roman"/>
                <w:sz w:val="24"/>
                <w:u w:val="none"/>
                <w:lang w:val="en-US" w:eastAsia="zh-CN"/>
              </w:rPr>
            </w:pPr>
            <w:r>
              <w:rPr>
                <w:rFonts w:hint="eastAsia" w:ascii="仿宋_GB2312" w:hAnsi="Times New Roman" w:eastAsia="仿宋_GB2312" w:cs="Times New Roman"/>
                <w:sz w:val="24"/>
                <w:u w:val="none"/>
                <w:lang w:val="en-US" w:eastAsia="zh-CN"/>
              </w:rPr>
              <w:t>1.电子级三氟化磷绿色合成技术研发：开展特定波段紫外光催化体系研究，探索低温条件下氟化氮与磷的反应机制，厘清光催化参数对反应过程的调控规律，开发环境友好的三氟化磷制备新工艺。</w:t>
            </w:r>
          </w:p>
          <w:p w14:paraId="5970AD50">
            <w:pPr>
              <w:keepNext w:val="0"/>
              <w:keepLines w:val="0"/>
              <w:pageBreakBefore w:val="0"/>
              <w:widowControl w:val="0"/>
              <w:kinsoku/>
              <w:wordWrap/>
              <w:overflowPunct/>
              <w:topLinePunct w:val="0"/>
              <w:autoSpaceDE/>
              <w:autoSpaceDN/>
              <w:bidi w:val="0"/>
              <w:adjustRightInd/>
              <w:snapToGrid/>
              <w:spacing w:line="400" w:lineRule="exact"/>
              <w:ind w:firstLine="514" w:firstLineChars="200"/>
              <w:textAlignment w:val="auto"/>
              <w:rPr>
                <w:rFonts w:hint="eastAsia" w:ascii="仿宋_GB2312" w:hAnsi="Times New Roman" w:eastAsia="仿宋_GB2312" w:cs="Times New Roman"/>
                <w:sz w:val="24"/>
                <w:u w:val="none"/>
                <w:lang w:val="en-US" w:eastAsia="zh-CN"/>
              </w:rPr>
            </w:pPr>
            <w:r>
              <w:rPr>
                <w:rFonts w:hint="eastAsia" w:ascii="仿宋_GB2312" w:hAnsi="Times New Roman" w:eastAsia="仿宋_GB2312" w:cs="Times New Roman"/>
                <w:sz w:val="24"/>
                <w:u w:val="none"/>
                <w:lang w:val="en-US" w:eastAsia="zh-CN"/>
              </w:rPr>
              <w:t>2.电子级五氟化砷高效制备技术研发：研究氟气稀释体系与砷单质的氟化反应规律，优化反应调控策略，建立短流程、高转化、低排放的五氟化砷合成技术体系。</w:t>
            </w:r>
          </w:p>
          <w:p w14:paraId="6C99DF87">
            <w:pPr>
              <w:keepNext w:val="0"/>
              <w:keepLines w:val="0"/>
              <w:pageBreakBefore w:val="0"/>
              <w:widowControl w:val="0"/>
              <w:kinsoku/>
              <w:wordWrap/>
              <w:overflowPunct/>
              <w:topLinePunct w:val="0"/>
              <w:autoSpaceDE/>
              <w:autoSpaceDN/>
              <w:bidi w:val="0"/>
              <w:adjustRightInd/>
              <w:snapToGrid/>
              <w:spacing w:line="400" w:lineRule="exact"/>
              <w:ind w:firstLine="514" w:firstLineChars="200"/>
              <w:textAlignment w:val="auto"/>
              <w:rPr>
                <w:rFonts w:hint="eastAsia" w:ascii="仿宋_GB2312" w:hAnsi="Times New Roman" w:eastAsia="仿宋_GB2312" w:cs="Times New Roman"/>
                <w:sz w:val="24"/>
                <w:u w:val="none"/>
                <w:lang w:val="en-US" w:eastAsia="zh-CN"/>
              </w:rPr>
            </w:pPr>
            <w:r>
              <w:rPr>
                <w:rFonts w:hint="eastAsia" w:ascii="仿宋_GB2312" w:hAnsi="Times New Roman" w:eastAsia="仿宋_GB2312" w:cs="Times New Roman"/>
                <w:sz w:val="24"/>
                <w:u w:val="none"/>
                <w:lang w:val="en-US" w:eastAsia="zh-CN"/>
              </w:rPr>
              <w:t>3.六氟砷酸锂合成工艺开发：研究五氟化砷与高纯氟化锂的反应匹配条件，明晰物料配比、反应环境对产物生成的影响机制，形成稳定可控的六氟砷酸锂制备工艺。</w:t>
            </w:r>
          </w:p>
          <w:p w14:paraId="2690529B">
            <w:pPr>
              <w:keepNext w:val="0"/>
              <w:keepLines w:val="0"/>
              <w:pageBreakBefore w:val="0"/>
              <w:widowControl w:val="0"/>
              <w:kinsoku/>
              <w:wordWrap/>
              <w:overflowPunct/>
              <w:topLinePunct w:val="0"/>
              <w:autoSpaceDE/>
              <w:autoSpaceDN/>
              <w:bidi w:val="0"/>
              <w:adjustRightInd/>
              <w:snapToGrid/>
              <w:spacing w:line="400" w:lineRule="exact"/>
              <w:ind w:firstLine="514" w:firstLineChars="200"/>
              <w:textAlignment w:val="auto"/>
              <w:rPr>
                <w:rFonts w:hint="eastAsia" w:ascii="仿宋_GB2312" w:hAnsi="仿宋_GB2312" w:eastAsia="仿宋_GB2312" w:cs="仿宋_GB2312"/>
                <w:b/>
                <w:bCs/>
                <w:sz w:val="24"/>
                <w:u w:val="none"/>
              </w:rPr>
            </w:pPr>
            <w:r>
              <w:rPr>
                <w:rFonts w:hint="eastAsia" w:ascii="仿宋_GB2312" w:hAnsi="仿宋_GB2312" w:eastAsia="仿宋_GB2312" w:cs="仿宋_GB2312"/>
                <w:b/>
                <w:bCs/>
                <w:sz w:val="24"/>
                <w:u w:val="none"/>
              </w:rPr>
              <w:t>三、预期指标</w:t>
            </w:r>
          </w:p>
          <w:p w14:paraId="0C4FD3EC">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ascii="仿宋_GB2312" w:eastAsia="仿宋_GB2312"/>
                <w:b/>
                <w:sz w:val="24"/>
                <w:u w:val="none"/>
              </w:rPr>
            </w:pPr>
            <w:r>
              <w:rPr>
                <w:rFonts w:hint="eastAsia" w:ascii="仿宋_GB2312" w:eastAsia="仿宋_GB2312"/>
                <w:b/>
                <w:sz w:val="24"/>
                <w:u w:val="none"/>
              </w:rPr>
              <w:t>（一）</w:t>
            </w:r>
            <w:r>
              <w:rPr>
                <w:rFonts w:hint="eastAsia" w:ascii="仿宋_GB2312" w:eastAsia="仿宋_GB2312"/>
                <w:b/>
                <w:sz w:val="24"/>
                <w:u w:val="none"/>
                <w:lang w:eastAsia="zh-CN"/>
              </w:rPr>
              <w:t>主要技术</w:t>
            </w:r>
            <w:r>
              <w:rPr>
                <w:rFonts w:hint="eastAsia" w:ascii="仿宋_GB2312" w:eastAsia="仿宋_GB2312"/>
                <w:b/>
                <w:sz w:val="24"/>
                <w:u w:val="none"/>
              </w:rPr>
              <w:t>指标：</w:t>
            </w:r>
          </w:p>
          <w:p w14:paraId="3C80613F">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ascii="仿宋_GB2312" w:eastAsia="仿宋_GB2312"/>
                <w:b/>
                <w:bCs/>
                <w:sz w:val="24"/>
                <w:u w:val="none"/>
              </w:rPr>
            </w:pPr>
            <w:r>
              <w:rPr>
                <w:rFonts w:hint="eastAsia" w:ascii="仿宋_GB2312" w:eastAsia="仿宋_GB2312"/>
                <w:b/>
                <w:bCs/>
                <w:sz w:val="24"/>
                <w:u w:val="none"/>
              </w:rPr>
              <w:t>三氟化磷：</w:t>
            </w:r>
          </w:p>
          <w:p w14:paraId="154607FC">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eastAsia="仿宋_GB2312"/>
                <w:sz w:val="24"/>
                <w:u w:val="none"/>
                <w:lang w:val="en-US" w:eastAsia="zh-CN"/>
              </w:rPr>
            </w:pPr>
            <w:r>
              <w:rPr>
                <w:rFonts w:hint="eastAsia" w:ascii="仿宋_GB2312" w:eastAsia="仿宋_GB2312"/>
                <w:sz w:val="24"/>
                <w:u w:val="none"/>
              </w:rPr>
              <w:t>主产品：PF</w:t>
            </w:r>
            <w:r>
              <w:rPr>
                <w:rFonts w:ascii="仿宋_GB2312" w:eastAsia="仿宋_GB2312"/>
                <w:sz w:val="24"/>
                <w:u w:val="none"/>
              </w:rPr>
              <w:t>₃</w:t>
            </w:r>
            <w:r>
              <w:rPr>
                <w:rFonts w:hint="eastAsia" w:ascii="仿宋_GB2312" w:eastAsia="仿宋_GB2312"/>
                <w:sz w:val="24"/>
                <w:u w:val="none"/>
                <w:lang w:eastAsia="zh-CN"/>
              </w:rPr>
              <w:t>纯度</w:t>
            </w:r>
            <w:r>
              <w:rPr>
                <w:rFonts w:hint="eastAsia" w:ascii="仿宋_GB2312" w:eastAsia="仿宋_GB2312"/>
                <w:sz w:val="24"/>
                <w:u w:val="none"/>
              </w:rPr>
              <w:t>&gt;99.999%（5N）</w:t>
            </w:r>
            <w:r>
              <w:rPr>
                <w:rFonts w:hint="eastAsia" w:ascii="仿宋_GB2312" w:eastAsia="仿宋_GB2312"/>
                <w:sz w:val="24"/>
                <w:u w:val="none"/>
                <w:lang w:val="en-US" w:eastAsia="zh-CN"/>
              </w:rPr>
              <w:t xml:space="preserve"> 检测方法：差减杂质总和。</w:t>
            </w:r>
          </w:p>
          <w:p w14:paraId="4ACD1A28">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default" w:ascii="仿宋_GB2312" w:eastAsia="仿宋_GB2312"/>
                <w:sz w:val="24"/>
                <w:u w:val="none"/>
                <w:lang w:val="en-US" w:eastAsia="zh-CN"/>
              </w:rPr>
            </w:pPr>
            <w:r>
              <w:rPr>
                <w:rFonts w:hint="eastAsia" w:ascii="仿宋_GB2312" w:eastAsia="仿宋_GB2312"/>
                <w:sz w:val="24"/>
                <w:u w:val="none"/>
                <w:lang w:eastAsia="zh-CN"/>
              </w:rPr>
              <w:t>杂质含量：</w:t>
            </w:r>
            <w:r>
              <w:rPr>
                <w:rFonts w:ascii="仿宋_GB2312" w:eastAsia="仿宋_GB2312"/>
                <w:sz w:val="24"/>
                <w:u w:val="none"/>
              </w:rPr>
              <w:t>H₂</w:t>
            </w:r>
            <w:r>
              <w:rPr>
                <w:rFonts w:hint="eastAsia" w:ascii="仿宋_GB2312" w:eastAsia="仿宋_GB2312"/>
                <w:sz w:val="24"/>
                <w:u w:val="none"/>
              </w:rPr>
              <w:t>：≤</w:t>
            </w:r>
            <w:r>
              <w:rPr>
                <w:rFonts w:ascii="仿宋_GB2312" w:eastAsia="仿宋_GB2312"/>
                <w:sz w:val="24"/>
                <w:u w:val="none"/>
              </w:rPr>
              <w:t>5ppmv</w:t>
            </w:r>
            <w:r>
              <w:rPr>
                <w:rFonts w:hint="eastAsia" w:ascii="仿宋_GB2312" w:eastAsia="仿宋_GB2312"/>
                <w:sz w:val="24"/>
                <w:u w:val="none"/>
                <w:lang w:val="en-US" w:eastAsia="zh-CN"/>
              </w:rPr>
              <w:t xml:space="preserve"> 检测方法：FTIR；</w:t>
            </w:r>
          </w:p>
          <w:p w14:paraId="7CEA2264">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default" w:ascii="仿宋_GB2312" w:eastAsia="仿宋_GB2312"/>
                <w:sz w:val="24"/>
                <w:u w:val="none"/>
                <w:lang w:val="en-US" w:eastAsia="zh-CN"/>
              </w:rPr>
            </w:pPr>
            <w:r>
              <w:rPr>
                <w:rFonts w:ascii="仿宋_GB2312" w:eastAsia="仿宋_GB2312"/>
                <w:sz w:val="24"/>
                <w:u w:val="none"/>
              </w:rPr>
              <w:t>O₂+Ar</w:t>
            </w:r>
            <w:r>
              <w:rPr>
                <w:rFonts w:hint="eastAsia" w:ascii="仿宋_GB2312" w:eastAsia="仿宋_GB2312"/>
                <w:sz w:val="24"/>
                <w:u w:val="none"/>
              </w:rPr>
              <w:t>：≤</w:t>
            </w:r>
            <w:r>
              <w:rPr>
                <w:rFonts w:ascii="仿宋_GB2312" w:eastAsia="仿宋_GB2312"/>
                <w:sz w:val="24"/>
                <w:u w:val="none"/>
              </w:rPr>
              <w:t>5ppmv</w:t>
            </w:r>
            <w:r>
              <w:rPr>
                <w:rFonts w:hint="eastAsia" w:ascii="仿宋_GB2312"/>
                <w:sz w:val="24"/>
                <w:u w:val="none"/>
                <w:lang w:val="en-US" w:eastAsia="zh-CN"/>
              </w:rPr>
              <w:t xml:space="preserve"> </w:t>
            </w:r>
            <w:r>
              <w:rPr>
                <w:rFonts w:hint="eastAsia" w:ascii="仿宋_GB2312" w:eastAsia="仿宋_GB2312"/>
                <w:sz w:val="24"/>
                <w:u w:val="none"/>
                <w:lang w:val="en-US" w:eastAsia="zh-CN"/>
              </w:rPr>
              <w:t>检测方法：GC-TCD；</w:t>
            </w:r>
          </w:p>
          <w:p w14:paraId="195E0479">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default" w:ascii="仿宋_GB2312" w:eastAsia="仿宋_GB2312"/>
                <w:sz w:val="24"/>
                <w:u w:val="none"/>
                <w:lang w:val="en-US" w:eastAsia="zh-CN"/>
              </w:rPr>
            </w:pPr>
            <w:r>
              <w:rPr>
                <w:rFonts w:ascii="仿宋_GB2312" w:eastAsia="仿宋_GB2312"/>
                <w:sz w:val="24"/>
                <w:u w:val="none"/>
              </w:rPr>
              <w:t>CO</w:t>
            </w:r>
            <w:r>
              <w:rPr>
                <w:rFonts w:hint="eastAsia" w:ascii="仿宋_GB2312" w:eastAsia="仿宋_GB2312"/>
                <w:sz w:val="24"/>
                <w:u w:val="none"/>
              </w:rPr>
              <w:t>、</w:t>
            </w:r>
            <w:r>
              <w:rPr>
                <w:rFonts w:ascii="仿宋_GB2312" w:eastAsia="仿宋_GB2312"/>
                <w:sz w:val="24"/>
                <w:u w:val="none"/>
              </w:rPr>
              <w:t>CO₂</w:t>
            </w:r>
            <w:r>
              <w:rPr>
                <w:rFonts w:hint="eastAsia" w:ascii="仿宋_GB2312" w:eastAsia="仿宋_GB2312"/>
                <w:sz w:val="24"/>
                <w:u w:val="none"/>
              </w:rPr>
              <w:t>：≤</w:t>
            </w:r>
            <w:r>
              <w:rPr>
                <w:rFonts w:ascii="仿宋_GB2312" w:eastAsia="仿宋_GB2312"/>
                <w:sz w:val="24"/>
                <w:u w:val="none"/>
              </w:rPr>
              <w:t>5ppmv</w:t>
            </w:r>
            <w:r>
              <w:rPr>
                <w:rFonts w:hint="eastAsia" w:ascii="仿宋_GB2312" w:eastAsia="仿宋_GB2312"/>
                <w:sz w:val="24"/>
                <w:u w:val="none"/>
                <w:lang w:val="en-US" w:eastAsia="zh-CN"/>
              </w:rPr>
              <w:t xml:space="preserve"> 检测方法：GC-FTIR。</w:t>
            </w:r>
          </w:p>
          <w:p w14:paraId="2A109BB8">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ascii="仿宋_GB2312" w:eastAsia="仿宋_GB2312"/>
                <w:b/>
                <w:bCs/>
                <w:sz w:val="24"/>
                <w:u w:val="none"/>
              </w:rPr>
            </w:pPr>
            <w:r>
              <w:rPr>
                <w:rFonts w:hint="eastAsia" w:ascii="仿宋_GB2312" w:eastAsia="仿宋_GB2312"/>
                <w:b/>
                <w:bCs/>
                <w:sz w:val="24"/>
                <w:u w:val="none"/>
              </w:rPr>
              <w:t>五氟化砷：</w:t>
            </w:r>
          </w:p>
          <w:p w14:paraId="57E2AA76">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eastAsia="仿宋_GB2312"/>
                <w:sz w:val="24"/>
                <w:u w:val="none"/>
              </w:rPr>
            </w:pPr>
            <w:r>
              <w:rPr>
                <w:rFonts w:hint="eastAsia" w:ascii="仿宋_GB2312" w:eastAsia="仿宋_GB2312"/>
                <w:sz w:val="24"/>
                <w:u w:val="none"/>
              </w:rPr>
              <w:t>主产品：AsF</w:t>
            </w:r>
            <w:r>
              <w:rPr>
                <w:rFonts w:hint="eastAsia" w:ascii="仿宋_GB2312" w:eastAsia="仿宋_GB2312"/>
                <w:sz w:val="15"/>
                <w:szCs w:val="15"/>
                <w:u w:val="none"/>
              </w:rPr>
              <w:t>5</w:t>
            </w:r>
            <w:r>
              <w:rPr>
                <w:rFonts w:hint="eastAsia" w:ascii="仿宋_GB2312" w:eastAsia="仿宋_GB2312"/>
                <w:sz w:val="24"/>
                <w:szCs w:val="24"/>
                <w:u w:val="none"/>
                <w:lang w:eastAsia="zh-CN"/>
              </w:rPr>
              <w:t>（主纯度）</w:t>
            </w:r>
            <w:r>
              <w:rPr>
                <w:rFonts w:hint="eastAsia" w:ascii="仿宋_GB2312" w:eastAsia="仿宋_GB2312"/>
                <w:sz w:val="24"/>
                <w:u w:val="none"/>
              </w:rPr>
              <w:t>&gt;99.995%（4.5N）</w:t>
            </w:r>
          </w:p>
          <w:p w14:paraId="4AB8A20D">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eastAsia="仿宋_GB2312"/>
                <w:sz w:val="24"/>
                <w:u w:val="none"/>
                <w:lang w:eastAsia="zh-CN"/>
              </w:rPr>
            </w:pPr>
            <w:r>
              <w:rPr>
                <w:rFonts w:hint="eastAsia" w:ascii="仿宋_GB2312" w:eastAsia="仿宋_GB2312"/>
                <w:sz w:val="24"/>
                <w:u w:val="none"/>
                <w:lang w:eastAsia="zh-CN"/>
              </w:rPr>
              <w:t>检测方法：差减杂质总和；</w:t>
            </w:r>
          </w:p>
          <w:p w14:paraId="476F26EA">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default" w:ascii="仿宋_GB2312" w:eastAsia="仿宋_GB2312"/>
                <w:sz w:val="24"/>
                <w:u w:val="none"/>
                <w:lang w:val="en-US" w:eastAsia="zh-CN"/>
              </w:rPr>
            </w:pPr>
            <w:r>
              <w:rPr>
                <w:rFonts w:hint="eastAsia" w:ascii="仿宋_GB2312" w:eastAsia="仿宋_GB2312"/>
                <w:sz w:val="24"/>
                <w:u w:val="none"/>
                <w:lang w:eastAsia="zh-CN"/>
              </w:rPr>
              <w:t>杂质含量：</w:t>
            </w:r>
            <w:r>
              <w:rPr>
                <w:rFonts w:ascii="仿宋_GB2312" w:eastAsia="仿宋_GB2312"/>
                <w:sz w:val="24"/>
                <w:u w:val="none"/>
              </w:rPr>
              <w:t>AsF₃</w:t>
            </w:r>
            <w:r>
              <w:rPr>
                <w:rFonts w:hint="eastAsia" w:ascii="仿宋_GB2312" w:eastAsia="仿宋_GB2312"/>
                <w:sz w:val="24"/>
                <w:u w:val="none"/>
              </w:rPr>
              <w:t>（三氟化砷）：≤</w:t>
            </w:r>
            <w:r>
              <w:rPr>
                <w:rFonts w:ascii="仿宋_GB2312" w:eastAsia="仿宋_GB2312"/>
                <w:sz w:val="24"/>
                <w:u w:val="none"/>
              </w:rPr>
              <w:t>10ppmv</w:t>
            </w:r>
            <w:r>
              <w:rPr>
                <w:rFonts w:hint="eastAsia" w:ascii="仿宋_GB2312" w:eastAsia="仿宋_GB2312"/>
                <w:sz w:val="24"/>
                <w:u w:val="none"/>
                <w:lang w:val="en-US" w:eastAsia="zh-CN"/>
              </w:rPr>
              <w:t xml:space="preserve">  检测方法：FTIR；</w:t>
            </w:r>
          </w:p>
          <w:p w14:paraId="0AABEBBE">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default" w:ascii="仿宋_GB2312" w:eastAsia="仿宋_GB2312"/>
                <w:sz w:val="24"/>
                <w:u w:val="none"/>
                <w:lang w:val="en-US" w:eastAsia="zh-CN"/>
              </w:rPr>
            </w:pPr>
            <w:r>
              <w:rPr>
                <w:rFonts w:hint="eastAsia" w:ascii="仿宋_GB2312" w:eastAsia="仿宋_GB2312"/>
                <w:sz w:val="24"/>
                <w:u w:val="none"/>
              </w:rPr>
              <w:t>HF：≤10ppmv</w:t>
            </w:r>
            <w:r>
              <w:rPr>
                <w:rFonts w:hint="eastAsia" w:ascii="仿宋_GB2312" w:eastAsia="仿宋_GB2312"/>
                <w:sz w:val="24"/>
                <w:u w:val="none"/>
                <w:lang w:val="en-US" w:eastAsia="zh-CN"/>
              </w:rPr>
              <w:t xml:space="preserve"> 检测方法：FTIR；</w:t>
            </w:r>
          </w:p>
          <w:p w14:paraId="70E468DF">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default" w:ascii="仿宋_GB2312" w:eastAsia="仿宋_GB2312"/>
                <w:sz w:val="24"/>
                <w:u w:val="none"/>
                <w:lang w:val="en-US" w:eastAsia="zh-CN"/>
              </w:rPr>
            </w:pPr>
            <w:r>
              <w:rPr>
                <w:rFonts w:ascii="仿宋_GB2312" w:eastAsia="仿宋_GB2312"/>
                <w:sz w:val="24"/>
                <w:u w:val="none"/>
              </w:rPr>
              <w:t>N₂</w:t>
            </w:r>
            <w:r>
              <w:rPr>
                <w:rFonts w:hint="eastAsia" w:ascii="仿宋_GB2312" w:eastAsia="仿宋_GB2312"/>
                <w:sz w:val="24"/>
                <w:u w:val="none"/>
              </w:rPr>
              <w:t>：≤</w:t>
            </w:r>
            <w:r>
              <w:rPr>
                <w:rFonts w:ascii="仿宋_GB2312" w:eastAsia="仿宋_GB2312"/>
                <w:sz w:val="24"/>
                <w:u w:val="none"/>
              </w:rPr>
              <w:t>5ppmv</w:t>
            </w:r>
            <w:r>
              <w:rPr>
                <w:rFonts w:hint="eastAsia" w:ascii="仿宋_GB2312" w:eastAsia="仿宋_GB2312"/>
                <w:sz w:val="24"/>
                <w:u w:val="none"/>
                <w:lang w:val="en-US" w:eastAsia="zh-CN"/>
              </w:rPr>
              <w:t xml:space="preserve"> 检测方法：GC-TCD；</w:t>
            </w:r>
          </w:p>
          <w:p w14:paraId="6BC558E6">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default" w:ascii="仿宋_GB2312" w:eastAsia="仿宋_GB2312"/>
                <w:sz w:val="24"/>
                <w:u w:val="none"/>
                <w:lang w:val="en-US" w:eastAsia="zh-CN"/>
              </w:rPr>
            </w:pPr>
            <w:r>
              <w:rPr>
                <w:rFonts w:ascii="仿宋_GB2312" w:eastAsia="仿宋_GB2312"/>
                <w:sz w:val="24"/>
                <w:u w:val="none"/>
              </w:rPr>
              <w:t>O₂+Ar</w:t>
            </w:r>
            <w:r>
              <w:rPr>
                <w:rFonts w:hint="eastAsia" w:ascii="仿宋_GB2312" w:eastAsia="仿宋_GB2312"/>
                <w:sz w:val="24"/>
                <w:u w:val="none"/>
              </w:rPr>
              <w:t>：≤</w:t>
            </w:r>
            <w:r>
              <w:rPr>
                <w:rFonts w:ascii="仿宋_GB2312" w:eastAsia="仿宋_GB2312"/>
                <w:sz w:val="24"/>
                <w:u w:val="none"/>
              </w:rPr>
              <w:t>2ppmv</w:t>
            </w:r>
            <w:r>
              <w:rPr>
                <w:rFonts w:hint="eastAsia" w:ascii="仿宋_GB2312" w:eastAsia="仿宋_GB2312"/>
                <w:sz w:val="24"/>
                <w:u w:val="none"/>
                <w:lang w:val="en-US" w:eastAsia="zh-CN"/>
              </w:rPr>
              <w:t xml:space="preserve"> 检测方法：GC-TCD；</w:t>
            </w:r>
          </w:p>
          <w:p w14:paraId="503BF831">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default" w:ascii="仿宋_GB2312" w:eastAsia="仿宋_GB2312"/>
                <w:sz w:val="24"/>
                <w:u w:val="none"/>
                <w:lang w:val="en-US" w:eastAsia="zh-CN"/>
              </w:rPr>
            </w:pPr>
            <w:r>
              <w:rPr>
                <w:rFonts w:ascii="仿宋_GB2312" w:eastAsia="仿宋_GB2312"/>
                <w:sz w:val="24"/>
                <w:u w:val="none"/>
              </w:rPr>
              <w:t>CO</w:t>
            </w:r>
            <w:r>
              <w:rPr>
                <w:rFonts w:hint="eastAsia" w:ascii="仿宋_GB2312" w:eastAsia="仿宋_GB2312"/>
                <w:sz w:val="24"/>
                <w:u w:val="none"/>
              </w:rPr>
              <w:t>、</w:t>
            </w:r>
            <w:r>
              <w:rPr>
                <w:rFonts w:ascii="仿宋_GB2312" w:eastAsia="仿宋_GB2312"/>
                <w:sz w:val="24"/>
                <w:u w:val="none"/>
              </w:rPr>
              <w:t>CO₂</w:t>
            </w:r>
            <w:r>
              <w:rPr>
                <w:rFonts w:hint="eastAsia" w:ascii="仿宋_GB2312" w:eastAsia="仿宋_GB2312"/>
                <w:sz w:val="24"/>
                <w:u w:val="none"/>
              </w:rPr>
              <w:t>：≤</w:t>
            </w:r>
            <w:r>
              <w:rPr>
                <w:rFonts w:ascii="仿宋_GB2312" w:eastAsia="仿宋_GB2312"/>
                <w:sz w:val="24"/>
                <w:u w:val="none"/>
              </w:rPr>
              <w:t>2ppmv</w:t>
            </w:r>
            <w:r>
              <w:rPr>
                <w:rFonts w:hint="eastAsia" w:ascii="仿宋_GB2312" w:eastAsia="仿宋_GB2312"/>
                <w:sz w:val="24"/>
                <w:u w:val="none"/>
                <w:lang w:val="en-US" w:eastAsia="zh-CN"/>
              </w:rPr>
              <w:t xml:space="preserve"> 检测方法：GC-FTIR；</w:t>
            </w:r>
          </w:p>
          <w:p w14:paraId="74D883FD">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default" w:ascii="仿宋_GB2312" w:eastAsia="仿宋_GB2312"/>
                <w:sz w:val="24"/>
                <w:u w:val="none"/>
                <w:lang w:val="en-US" w:eastAsia="zh-CN"/>
              </w:rPr>
            </w:pPr>
            <w:r>
              <w:rPr>
                <w:rFonts w:ascii="仿宋_GB2312" w:eastAsia="仿宋_GB2312"/>
                <w:sz w:val="24"/>
                <w:u w:val="none"/>
              </w:rPr>
              <w:t>SiF₄</w:t>
            </w:r>
            <w:r>
              <w:rPr>
                <w:rFonts w:hint="eastAsia" w:ascii="仿宋_GB2312" w:eastAsia="仿宋_GB2312"/>
                <w:sz w:val="24"/>
                <w:u w:val="none"/>
              </w:rPr>
              <w:t>：≤</w:t>
            </w:r>
            <w:r>
              <w:rPr>
                <w:rFonts w:ascii="仿宋_GB2312" w:eastAsia="仿宋_GB2312"/>
                <w:sz w:val="24"/>
                <w:u w:val="none"/>
              </w:rPr>
              <w:t>10ppmv</w:t>
            </w:r>
            <w:r>
              <w:rPr>
                <w:rFonts w:hint="eastAsia" w:ascii="仿宋_GB2312" w:eastAsia="仿宋_GB2312"/>
                <w:sz w:val="24"/>
                <w:u w:val="none"/>
                <w:lang w:val="en-US" w:eastAsia="zh-CN"/>
              </w:rPr>
              <w:t xml:space="preserve"> 检测方法：FTIR；</w:t>
            </w:r>
          </w:p>
          <w:p w14:paraId="27F94EA2">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default" w:ascii="仿宋_GB2312" w:eastAsia="仿宋_GB2312"/>
                <w:sz w:val="24"/>
                <w:u w:val="none"/>
                <w:lang w:val="en-US" w:eastAsia="zh-CN"/>
              </w:rPr>
            </w:pPr>
            <w:r>
              <w:rPr>
                <w:rFonts w:ascii="仿宋_GB2312" w:eastAsia="仿宋_GB2312"/>
                <w:sz w:val="24"/>
                <w:u w:val="none"/>
              </w:rPr>
              <w:t>SO₂</w:t>
            </w:r>
            <w:r>
              <w:rPr>
                <w:rFonts w:hint="eastAsia" w:ascii="仿宋_GB2312" w:eastAsia="仿宋_GB2312"/>
                <w:sz w:val="24"/>
                <w:u w:val="none"/>
              </w:rPr>
              <w:t>：≤</w:t>
            </w:r>
            <w:r>
              <w:rPr>
                <w:rFonts w:ascii="仿宋_GB2312" w:eastAsia="仿宋_GB2312"/>
                <w:sz w:val="24"/>
                <w:u w:val="none"/>
              </w:rPr>
              <w:t>5ppmv</w:t>
            </w:r>
            <w:r>
              <w:rPr>
                <w:rFonts w:hint="eastAsia" w:ascii="仿宋_GB2312" w:eastAsia="仿宋_GB2312"/>
                <w:sz w:val="24"/>
                <w:u w:val="none"/>
                <w:lang w:val="en-US" w:eastAsia="zh-CN"/>
              </w:rPr>
              <w:t xml:space="preserve"> 检测方法：FTIR。</w:t>
            </w:r>
          </w:p>
          <w:p w14:paraId="5B6786E6">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ascii="仿宋_GB2312" w:eastAsia="仿宋_GB2312"/>
                <w:b/>
                <w:bCs/>
                <w:sz w:val="24"/>
                <w:u w:val="none"/>
              </w:rPr>
            </w:pPr>
            <w:r>
              <w:rPr>
                <w:rFonts w:hint="eastAsia" w:ascii="仿宋_GB2312" w:eastAsia="仿宋_GB2312"/>
                <w:b/>
                <w:bCs/>
                <w:sz w:val="24"/>
                <w:u w:val="none"/>
              </w:rPr>
              <w:t>六氟砷酸锂：</w:t>
            </w:r>
          </w:p>
          <w:p w14:paraId="7D7AEC85">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default" w:ascii="仿宋_GB2312" w:eastAsia="仿宋_GB2312"/>
                <w:sz w:val="24"/>
                <w:u w:val="none"/>
                <w:lang w:val="en-US" w:eastAsia="zh-CN"/>
              </w:rPr>
            </w:pPr>
            <w:r>
              <w:rPr>
                <w:rFonts w:hint="eastAsia" w:ascii="仿宋_GB2312" w:eastAsia="仿宋_GB2312"/>
                <w:sz w:val="24"/>
                <w:u w:val="none"/>
              </w:rPr>
              <w:t>主产品：LiAsF</w:t>
            </w:r>
            <w:r>
              <w:rPr>
                <w:rFonts w:hint="eastAsia" w:ascii="仿宋_GB2312" w:eastAsia="仿宋_GB2312"/>
                <w:sz w:val="18"/>
                <w:szCs w:val="18"/>
                <w:u w:val="none"/>
              </w:rPr>
              <w:t>6</w:t>
            </w:r>
            <w:r>
              <w:rPr>
                <w:rFonts w:hint="eastAsia" w:ascii="仿宋_GB2312" w:eastAsia="仿宋_GB2312"/>
                <w:sz w:val="24"/>
                <w:u w:val="none"/>
              </w:rPr>
              <w:t>主含量&gt;99.9%（3N）</w:t>
            </w:r>
            <w:r>
              <w:rPr>
                <w:rFonts w:hint="eastAsia" w:ascii="仿宋_GB2312" w:eastAsia="仿宋_GB2312"/>
                <w:sz w:val="24"/>
                <w:u w:val="none"/>
                <w:lang w:val="en-US" w:eastAsia="zh-CN"/>
              </w:rPr>
              <w:t xml:space="preserve">  检测方法：离子色谱 / 电位滴定；</w:t>
            </w:r>
          </w:p>
          <w:p w14:paraId="7CCEFF0C">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default" w:ascii="仿宋_GB2312" w:eastAsia="仿宋_GB2312"/>
                <w:sz w:val="24"/>
                <w:u w:val="none"/>
                <w:lang w:val="en-US" w:eastAsia="zh-CN"/>
              </w:rPr>
            </w:pPr>
            <w:r>
              <w:rPr>
                <w:rFonts w:hint="eastAsia" w:ascii="仿宋_GB2312" w:eastAsia="仿宋_GB2312"/>
                <w:sz w:val="24"/>
                <w:u w:val="none"/>
                <w:lang w:eastAsia="zh-CN"/>
              </w:rPr>
              <w:t>杂质含量：</w:t>
            </w:r>
            <w:r>
              <w:rPr>
                <w:rFonts w:hint="eastAsia" w:ascii="仿宋_GB2312" w:eastAsia="仿宋_GB2312"/>
                <w:sz w:val="24"/>
                <w:u w:val="none"/>
              </w:rPr>
              <w:t>水分</w:t>
            </w:r>
            <w:r>
              <w:rPr>
                <w:rFonts w:ascii="仿宋_GB2312" w:eastAsia="仿宋_GB2312"/>
                <w:sz w:val="24"/>
                <w:u w:val="none"/>
              </w:rPr>
              <w:t>H₂O</w:t>
            </w:r>
            <w:r>
              <w:rPr>
                <w:rFonts w:hint="eastAsia" w:ascii="仿宋_GB2312" w:eastAsia="仿宋_GB2312"/>
                <w:sz w:val="24"/>
                <w:u w:val="none"/>
              </w:rPr>
              <w:t>：≤</w:t>
            </w:r>
            <w:r>
              <w:rPr>
                <w:rFonts w:ascii="仿宋_GB2312" w:eastAsia="仿宋_GB2312"/>
                <w:sz w:val="24"/>
                <w:u w:val="none"/>
              </w:rPr>
              <w:t>20ppm</w:t>
            </w:r>
            <w:r>
              <w:rPr>
                <w:rFonts w:hint="eastAsia" w:ascii="仿宋_GB2312" w:eastAsia="仿宋_GB2312"/>
                <w:sz w:val="24"/>
                <w:u w:val="none"/>
                <w:lang w:val="en-US" w:eastAsia="zh-CN"/>
              </w:rPr>
              <w:t xml:space="preserve">  检测方法：卡尔-费休(无水惰性气氛)；</w:t>
            </w:r>
          </w:p>
          <w:p w14:paraId="188D3338">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default" w:ascii="仿宋_GB2312" w:eastAsia="仿宋_GB2312"/>
                <w:sz w:val="24"/>
                <w:u w:val="none"/>
                <w:lang w:val="en-US" w:eastAsia="zh-CN"/>
              </w:rPr>
            </w:pPr>
            <w:r>
              <w:rPr>
                <w:rFonts w:hint="eastAsia" w:ascii="仿宋_GB2312" w:eastAsia="仿宋_GB2312"/>
                <w:sz w:val="24"/>
                <w:u w:val="none"/>
              </w:rPr>
              <w:t>游离酸（以HF计）：≤50ppm</w:t>
            </w:r>
            <w:r>
              <w:rPr>
                <w:rFonts w:hint="eastAsia" w:ascii="仿宋_GB2312" w:eastAsia="仿宋_GB2312"/>
                <w:sz w:val="24"/>
                <w:u w:val="none"/>
                <w:lang w:val="en-US" w:eastAsia="zh-CN"/>
              </w:rPr>
              <w:t xml:space="preserve"> 检测方法：电位滴定；</w:t>
            </w:r>
          </w:p>
          <w:p w14:paraId="19EAB8A8">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default" w:ascii="仿宋_GB2312" w:eastAsia="仿宋_GB2312"/>
                <w:sz w:val="24"/>
                <w:u w:val="none"/>
                <w:lang w:val="en-US" w:eastAsia="zh-CN"/>
              </w:rPr>
            </w:pPr>
            <w:r>
              <w:rPr>
                <w:rFonts w:hint="eastAsia" w:ascii="仿宋_GB2312" w:eastAsia="仿宋_GB2312"/>
                <w:sz w:val="24"/>
                <w:u w:val="none"/>
              </w:rPr>
              <w:t>游离LiF：≤100ppm</w:t>
            </w:r>
            <w:r>
              <w:rPr>
                <w:rFonts w:hint="eastAsia" w:ascii="仿宋_GB2312" w:eastAsia="仿宋_GB2312"/>
                <w:sz w:val="24"/>
                <w:u w:val="none"/>
                <w:lang w:val="en-US" w:eastAsia="zh-CN"/>
              </w:rPr>
              <w:t xml:space="preserve"> 检测方法：离子色谱；</w:t>
            </w:r>
          </w:p>
          <w:p w14:paraId="40305F23">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default" w:ascii="仿宋_GB2312" w:eastAsia="仿宋_GB2312"/>
                <w:sz w:val="24"/>
                <w:u w:val="none"/>
                <w:lang w:val="en-US" w:eastAsia="zh-CN"/>
              </w:rPr>
            </w:pPr>
            <w:r>
              <w:rPr>
                <w:rFonts w:ascii="仿宋_GB2312" w:eastAsia="仿宋_GB2312"/>
                <w:sz w:val="24"/>
                <w:u w:val="none"/>
              </w:rPr>
              <w:t>AsF₃/</w:t>
            </w:r>
            <w:r>
              <w:rPr>
                <w:rFonts w:hint="eastAsia" w:ascii="仿宋_GB2312" w:eastAsia="仿宋_GB2312"/>
                <w:sz w:val="24"/>
                <w:u w:val="none"/>
              </w:rPr>
              <w:t>亚砷杂质：≤</w:t>
            </w:r>
            <w:r>
              <w:rPr>
                <w:rFonts w:ascii="仿宋_GB2312" w:eastAsia="仿宋_GB2312"/>
                <w:sz w:val="24"/>
                <w:u w:val="none"/>
              </w:rPr>
              <w:t>80ppm</w:t>
            </w:r>
            <w:r>
              <w:rPr>
                <w:rFonts w:hint="eastAsia" w:ascii="仿宋_GB2312" w:eastAsia="仿宋_GB2312"/>
                <w:sz w:val="24"/>
                <w:u w:val="none"/>
                <w:lang w:val="en-US" w:eastAsia="zh-CN"/>
              </w:rPr>
              <w:t xml:space="preserve"> 检测方法：ICP-MS / FTIR；</w:t>
            </w:r>
          </w:p>
          <w:p w14:paraId="31DE7A27">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default" w:ascii="仿宋_GB2312" w:eastAsia="仿宋_GB2312"/>
                <w:sz w:val="24"/>
                <w:u w:val="none"/>
                <w:lang w:val="en-US" w:eastAsia="zh-CN"/>
              </w:rPr>
            </w:pPr>
            <w:r>
              <w:rPr>
                <w:rFonts w:hint="eastAsia" w:ascii="仿宋_GB2312" w:eastAsia="仿宋_GB2312"/>
                <w:sz w:val="24"/>
                <w:u w:val="none"/>
              </w:rPr>
              <w:t>氯化物</w:t>
            </w:r>
            <w:r>
              <w:rPr>
                <w:rFonts w:ascii="仿宋_GB2312" w:eastAsia="仿宋_GB2312"/>
                <w:sz w:val="24"/>
                <w:u w:val="none"/>
              </w:rPr>
              <w:t>Cl⁻</w:t>
            </w:r>
            <w:r>
              <w:rPr>
                <w:rFonts w:ascii="仿宋_GB2312" w:eastAsia="仿宋_GB2312"/>
                <w:sz w:val="24"/>
                <w:u w:val="none"/>
              </w:rPr>
              <w:tab/>
            </w:r>
            <w:r>
              <w:rPr>
                <w:rFonts w:hint="eastAsia" w:ascii="仿宋_GB2312" w:eastAsia="仿宋_GB2312"/>
                <w:sz w:val="24"/>
                <w:u w:val="none"/>
              </w:rPr>
              <w:t>：≤</w:t>
            </w:r>
            <w:r>
              <w:rPr>
                <w:rFonts w:ascii="仿宋_GB2312" w:eastAsia="仿宋_GB2312"/>
                <w:sz w:val="24"/>
                <w:u w:val="none"/>
              </w:rPr>
              <w:t>5ppm</w:t>
            </w:r>
            <w:r>
              <w:rPr>
                <w:rFonts w:hint="eastAsia" w:ascii="仿宋_GB2312" w:eastAsia="仿宋_GB2312"/>
                <w:sz w:val="24"/>
                <w:u w:val="none"/>
                <w:lang w:val="en-US" w:eastAsia="zh-CN"/>
              </w:rPr>
              <w:t xml:space="preserve"> 检测方法：离子色谱；</w:t>
            </w:r>
          </w:p>
          <w:p w14:paraId="0D9EB834">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default" w:ascii="仿宋_GB2312" w:eastAsia="仿宋_GB2312"/>
                <w:sz w:val="24"/>
                <w:u w:val="none"/>
                <w:lang w:val="en-US" w:eastAsia="zh-CN"/>
              </w:rPr>
            </w:pPr>
            <w:r>
              <w:rPr>
                <w:rFonts w:hint="eastAsia" w:ascii="仿宋_GB2312" w:eastAsia="仿宋_GB2312"/>
                <w:sz w:val="24"/>
                <w:u w:val="none"/>
              </w:rPr>
              <w:t>硫酸盐</w:t>
            </w:r>
            <w:r>
              <w:rPr>
                <w:rFonts w:ascii="仿宋_GB2312" w:eastAsia="仿宋_GB2312"/>
                <w:sz w:val="24"/>
                <w:u w:val="none"/>
              </w:rPr>
              <w:t>SO₄²⁻</w:t>
            </w:r>
            <w:r>
              <w:rPr>
                <w:rFonts w:hint="eastAsia" w:ascii="仿宋_GB2312" w:eastAsia="仿宋_GB2312"/>
                <w:sz w:val="24"/>
                <w:u w:val="none"/>
              </w:rPr>
              <w:t>：≤</w:t>
            </w:r>
            <w:r>
              <w:rPr>
                <w:rFonts w:ascii="仿宋_GB2312" w:eastAsia="仿宋_GB2312"/>
                <w:sz w:val="24"/>
                <w:u w:val="none"/>
              </w:rPr>
              <w:t>5ppm</w:t>
            </w:r>
            <w:r>
              <w:rPr>
                <w:rFonts w:hint="eastAsia" w:ascii="仿宋_GB2312" w:eastAsia="仿宋_GB2312"/>
                <w:sz w:val="24"/>
                <w:u w:val="none"/>
                <w:lang w:val="en-US" w:eastAsia="zh-CN"/>
              </w:rPr>
              <w:t xml:space="preserve"> 检测方法：离子色谱；</w:t>
            </w:r>
          </w:p>
          <w:p w14:paraId="196D31CC">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仿宋_GB2312" w:eastAsia="仿宋_GB2312"/>
                <w:sz w:val="24"/>
                <w:u w:val="none"/>
                <w:lang w:val="en-US" w:eastAsia="zh-CN"/>
              </w:rPr>
            </w:pPr>
            <w:r>
              <w:rPr>
                <w:rFonts w:hint="eastAsia" w:ascii="仿宋_GB2312" w:eastAsia="仿宋_GB2312"/>
                <w:sz w:val="24"/>
                <w:u w:val="none"/>
              </w:rPr>
              <w:t>单金属杂质（Na,K,Ca,Fe,Cu,Ni,Cr,Mg,Pb,Zn）：≤1ppm</w:t>
            </w:r>
            <w:r>
              <w:rPr>
                <w:rFonts w:hint="eastAsia" w:ascii="仿宋_GB2312" w:eastAsia="仿宋_GB2312"/>
                <w:sz w:val="24"/>
                <w:u w:val="none"/>
                <w:lang w:val="en-US" w:eastAsia="zh-CN"/>
              </w:rPr>
              <w:t xml:space="preserve"> 检测方法：ICP-MS-MS；</w:t>
            </w:r>
          </w:p>
          <w:p w14:paraId="78D046B5">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eastAsia="仿宋_GB2312"/>
                <w:sz w:val="24"/>
                <w:u w:val="none"/>
                <w:lang w:val="en-US" w:eastAsia="zh-CN"/>
              </w:rPr>
            </w:pPr>
            <w:r>
              <w:rPr>
                <w:rFonts w:hint="eastAsia" w:ascii="仿宋_GB2312" w:eastAsia="仿宋_GB2312"/>
                <w:sz w:val="24"/>
                <w:u w:val="none"/>
              </w:rPr>
              <w:t>不溶物（碳酸酯溶剂）：≤200ppm</w:t>
            </w:r>
            <w:r>
              <w:rPr>
                <w:rFonts w:hint="eastAsia" w:ascii="仿宋_GB2312" w:eastAsia="仿宋_GB2312"/>
                <w:sz w:val="24"/>
                <w:u w:val="none"/>
                <w:lang w:val="en-US" w:eastAsia="zh-CN"/>
              </w:rPr>
              <w:t xml:space="preserve">  检测方法：重量法。</w:t>
            </w:r>
          </w:p>
          <w:p w14:paraId="34E5E6D3">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_GB2312" w:hAnsi="Times New Roman" w:eastAsia="仿宋_GB2312" w:cs="Times New Roman"/>
                <w:b/>
                <w:sz w:val="24"/>
                <w:u w:val="none"/>
                <w:lang w:val="en-US" w:eastAsia="zh-CN"/>
              </w:rPr>
            </w:pPr>
            <w:r>
              <w:rPr>
                <w:rFonts w:hint="eastAsia" w:ascii="仿宋_GB2312" w:hAnsi="Times New Roman" w:eastAsia="仿宋_GB2312" w:cs="Times New Roman"/>
                <w:b/>
                <w:sz w:val="24"/>
                <w:u w:val="none"/>
                <w:lang w:val="en-US" w:eastAsia="zh-CN"/>
              </w:rPr>
              <w:t>（二）成果指标</w:t>
            </w:r>
          </w:p>
          <w:p w14:paraId="65016477">
            <w:pPr>
              <w:keepNext w:val="0"/>
              <w:keepLines w:val="0"/>
              <w:pageBreakBefore w:val="0"/>
              <w:widowControl w:val="0"/>
              <w:numPr>
                <w:ilvl w:val="0"/>
                <w:numId w:val="4"/>
              </w:numPr>
              <w:kinsoku/>
              <w:wordWrap/>
              <w:overflowPunct/>
              <w:topLinePunct w:val="0"/>
              <w:autoSpaceDE/>
              <w:autoSpaceDN/>
              <w:bidi w:val="0"/>
              <w:adjustRightInd/>
              <w:snapToGrid/>
              <w:spacing w:line="400" w:lineRule="exact"/>
              <w:jc w:val="both"/>
              <w:textAlignment w:val="auto"/>
              <w:rPr>
                <w:rFonts w:hint="eastAsia" w:ascii="仿宋_GB2312" w:eastAsia="仿宋_GB2312"/>
                <w:sz w:val="24"/>
                <w:u w:val="none"/>
                <w:lang w:eastAsia="zh-CN"/>
              </w:rPr>
            </w:pPr>
            <w:r>
              <w:rPr>
                <w:rFonts w:hint="eastAsia" w:ascii="仿宋_GB2312" w:eastAsia="仿宋_GB2312"/>
                <w:sz w:val="24"/>
                <w:u w:val="none"/>
              </w:rPr>
              <w:t>申请3个发明专利</w:t>
            </w:r>
            <w:r>
              <w:rPr>
                <w:rFonts w:hint="eastAsia" w:ascii="仿宋_GB2312" w:eastAsia="仿宋_GB2312"/>
                <w:sz w:val="24"/>
                <w:u w:val="none"/>
                <w:lang w:eastAsia="zh-CN"/>
              </w:rPr>
              <w:t>；</w:t>
            </w:r>
          </w:p>
          <w:p w14:paraId="65E5F2E5">
            <w:pPr>
              <w:keepNext w:val="0"/>
              <w:keepLines w:val="0"/>
              <w:pageBreakBefore w:val="0"/>
              <w:widowControl w:val="0"/>
              <w:numPr>
                <w:ilvl w:val="0"/>
                <w:numId w:val="4"/>
              </w:numPr>
              <w:kinsoku/>
              <w:wordWrap/>
              <w:overflowPunct/>
              <w:topLinePunct w:val="0"/>
              <w:autoSpaceDE/>
              <w:autoSpaceDN/>
              <w:bidi w:val="0"/>
              <w:adjustRightInd/>
              <w:snapToGrid/>
              <w:spacing w:line="400" w:lineRule="exact"/>
              <w:jc w:val="both"/>
              <w:textAlignment w:val="auto"/>
              <w:rPr>
                <w:rFonts w:hint="eastAsia" w:ascii="仿宋_GB2312" w:eastAsia="仿宋_GB2312"/>
                <w:sz w:val="24"/>
                <w:u w:val="none"/>
                <w:lang w:val="en-US" w:eastAsia="zh-CN"/>
              </w:rPr>
            </w:pPr>
            <w:r>
              <w:rPr>
                <w:rFonts w:hint="eastAsia" w:ascii="仿宋_GB2312" w:eastAsia="仿宋_GB2312"/>
                <w:sz w:val="24"/>
                <w:u w:val="none"/>
              </w:rPr>
              <w:t>完成三个产品的绿色制备工艺的技术研发</w:t>
            </w:r>
            <w:r>
              <w:rPr>
                <w:rFonts w:hint="eastAsia" w:ascii="仿宋_GB2312" w:eastAsia="仿宋_GB2312"/>
                <w:sz w:val="24"/>
                <w:u w:val="none"/>
                <w:lang w:val="en-US" w:eastAsia="zh-CN"/>
              </w:rPr>
              <w:t>.</w:t>
            </w:r>
          </w:p>
          <w:p w14:paraId="0CCB8EC8">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_GB2312" w:eastAsia="仿宋_GB2312"/>
                <w:sz w:val="24"/>
                <w:u w:val="none"/>
                <w:lang w:eastAsia="zh-CN"/>
              </w:rPr>
            </w:pPr>
            <w:r>
              <w:rPr>
                <w:rFonts w:hint="eastAsia" w:ascii="仿宋_GB2312" w:eastAsia="仿宋_GB2312"/>
                <w:sz w:val="24"/>
                <w:u w:val="none"/>
              </w:rPr>
              <w:t>（</w:t>
            </w:r>
            <w:r>
              <w:rPr>
                <w:rFonts w:hint="eastAsia" w:ascii="仿宋_GB2312" w:eastAsia="仿宋_GB2312"/>
                <w:b/>
                <w:sz w:val="24"/>
                <w:u w:val="none"/>
                <w:lang w:eastAsia="zh-CN"/>
              </w:rPr>
              <w:t>三</w:t>
            </w:r>
            <w:r>
              <w:rPr>
                <w:rFonts w:hint="eastAsia" w:ascii="仿宋_GB2312" w:eastAsia="仿宋_GB2312"/>
                <w:b/>
                <w:sz w:val="24"/>
                <w:u w:val="none"/>
              </w:rPr>
              <w:t>）</w:t>
            </w:r>
            <w:r>
              <w:rPr>
                <w:rFonts w:hint="eastAsia" w:ascii="仿宋_GB2312" w:eastAsia="仿宋_GB2312"/>
                <w:b/>
                <w:sz w:val="24"/>
                <w:u w:val="none"/>
                <w:lang w:eastAsia="zh-CN"/>
              </w:rPr>
              <w:t>经济社会效益指标</w:t>
            </w:r>
          </w:p>
          <w:p w14:paraId="125EA455">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_GB2312" w:eastAsia="仿宋_GB2312"/>
                <w:sz w:val="24"/>
                <w:u w:val="none"/>
                <w:lang w:eastAsia="zh-CN"/>
              </w:rPr>
            </w:pPr>
            <w:r>
              <w:rPr>
                <w:rFonts w:hint="eastAsia" w:ascii="仿宋_GB2312" w:eastAsia="仿宋_GB2312"/>
                <w:sz w:val="24"/>
                <w:u w:val="none"/>
                <w:lang w:val="en-US" w:eastAsia="zh-CN"/>
              </w:rPr>
              <w:t>1.项目实施期间，新增产值达3000万元；</w:t>
            </w:r>
          </w:p>
          <w:p w14:paraId="07903CB3">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_GB2312" w:eastAsia="仿宋_GB2312"/>
                <w:sz w:val="24"/>
                <w:u w:val="none"/>
                <w:lang w:eastAsia="zh-CN"/>
              </w:rPr>
            </w:pPr>
            <w:r>
              <w:rPr>
                <w:rFonts w:hint="eastAsia" w:ascii="仿宋_GB2312" w:eastAsia="仿宋_GB2312"/>
                <w:sz w:val="24"/>
                <w:u w:val="none"/>
                <w:lang w:val="en-US" w:eastAsia="zh-CN"/>
              </w:rPr>
              <w:t>2.</w:t>
            </w:r>
            <w:r>
              <w:rPr>
                <w:rFonts w:hint="eastAsia" w:ascii="仿宋_GB2312" w:eastAsia="仿宋_GB2312"/>
                <w:sz w:val="24"/>
                <w:u w:val="none"/>
              </w:rPr>
              <w:t>建成三个产品中试生产线：形成三氟化磷50吨/年；五氟化砷10吨/年；六氟砷酸锂5吨/年的生产能力</w:t>
            </w:r>
            <w:r>
              <w:rPr>
                <w:rFonts w:hint="eastAsia" w:ascii="仿宋_GB2312" w:eastAsia="仿宋_GB2312"/>
                <w:sz w:val="24"/>
                <w:u w:val="none"/>
                <w:lang w:eastAsia="zh-CN"/>
              </w:rPr>
              <w:t>。</w:t>
            </w:r>
          </w:p>
          <w:p w14:paraId="27C0A556">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_GB2312" w:eastAsia="仿宋_GB2312"/>
                <w:sz w:val="24"/>
                <w:u w:val="none"/>
              </w:rPr>
            </w:pPr>
          </w:p>
        </w:tc>
        <w:tc>
          <w:tcPr>
            <w:tcW w:w="1447" w:type="dxa"/>
            <w:tcBorders>
              <w:top w:val="single" w:color="auto" w:sz="4" w:space="0"/>
              <w:left w:val="single" w:color="auto" w:sz="4" w:space="0"/>
              <w:bottom w:val="single" w:color="auto" w:sz="4" w:space="0"/>
              <w:right w:val="single" w:color="auto" w:sz="4" w:space="0"/>
            </w:tcBorders>
            <w:vAlign w:val="center"/>
          </w:tcPr>
          <w:p w14:paraId="77928DB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eastAsia="仿宋_GB2312"/>
                <w:sz w:val="24"/>
                <w:u w:val="none"/>
                <w:lang w:eastAsia="zh-CN"/>
              </w:rPr>
            </w:pPr>
            <w:r>
              <w:rPr>
                <w:rFonts w:hint="eastAsia" w:ascii="仿宋_GB2312" w:eastAsia="仿宋_GB2312"/>
                <w:sz w:val="24"/>
                <w:u w:val="none"/>
              </w:rPr>
              <w:t>500万元</w:t>
            </w:r>
          </w:p>
        </w:tc>
        <w:tc>
          <w:tcPr>
            <w:tcW w:w="1556" w:type="dxa"/>
            <w:tcBorders>
              <w:top w:val="single" w:color="auto" w:sz="4" w:space="0"/>
              <w:left w:val="single" w:color="auto" w:sz="4" w:space="0"/>
              <w:bottom w:val="single" w:color="auto" w:sz="4" w:space="0"/>
              <w:right w:val="single" w:color="auto" w:sz="4" w:space="0"/>
            </w:tcBorders>
            <w:vAlign w:val="center"/>
          </w:tcPr>
          <w:p w14:paraId="4A08182A"/>
          <w:p w14:paraId="6478DE4A"/>
          <w:p w14:paraId="1B06A81F">
            <w:r>
              <w:rPr>
                <w:rFonts w:hint="eastAsia" w:ascii="仿宋_GB2312" w:hAnsi="宋体" w:eastAsia="仿宋_GB2312" w:cs="宋体"/>
                <w:bCs/>
                <w:kern w:val="0"/>
                <w:sz w:val="24"/>
                <w:u w:val="none"/>
              </w:rPr>
              <w:t>申报单位须对本专题的整体研发内容和目标进行申报</w:t>
            </w:r>
          </w:p>
          <w:p w14:paraId="38608FB3"/>
          <w:p w14:paraId="39724C49"/>
          <w:p w14:paraId="754AA5BB"/>
          <w:p w14:paraId="7C0CC989"/>
          <w:p w14:paraId="6E36C6C9"/>
          <w:p w14:paraId="6C01C46F"/>
          <w:p w14:paraId="2830E15A"/>
          <w:p w14:paraId="15FBC7D1"/>
          <w:p w14:paraId="265D4F0C"/>
          <w:p w14:paraId="028F72E3"/>
          <w:p w14:paraId="24AB2D02">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仿宋_GB2312" w:eastAsia="仿宋_GB2312"/>
                <w:sz w:val="24"/>
                <w:u w:val="none"/>
              </w:rPr>
            </w:pPr>
          </w:p>
        </w:tc>
      </w:tr>
    </w:tbl>
    <w:p w14:paraId="0B2EB26C">
      <w:pPr>
        <w:jc w:val="center"/>
        <w:rPr>
          <w:rFonts w:hint="eastAsia" w:ascii="黑体" w:hAnsi="黑体" w:eastAsia="黑体" w:cs="黑体"/>
          <w:sz w:val="32"/>
          <w:szCs w:val="32"/>
          <w:u w:val="none"/>
        </w:rPr>
      </w:pPr>
    </w:p>
    <w:p w14:paraId="3BC7E139">
      <w:pPr>
        <w:jc w:val="center"/>
        <w:rPr>
          <w:rFonts w:hint="eastAsia" w:ascii="黑体" w:hAnsi="黑体" w:eastAsia="黑体" w:cs="黑体"/>
          <w:sz w:val="32"/>
          <w:szCs w:val="32"/>
          <w:u w:val="none"/>
        </w:rPr>
      </w:pPr>
    </w:p>
    <w:p w14:paraId="2D491E73">
      <w:pPr>
        <w:jc w:val="center"/>
        <w:rPr>
          <w:rFonts w:hint="eastAsia" w:ascii="黑体" w:hAnsi="黑体" w:eastAsia="黑体" w:cs="黑体"/>
          <w:sz w:val="32"/>
          <w:szCs w:val="32"/>
          <w:u w:val="none"/>
        </w:rPr>
      </w:pPr>
    </w:p>
    <w:p w14:paraId="136FF552">
      <w:pPr>
        <w:jc w:val="center"/>
        <w:rPr>
          <w:rFonts w:hint="eastAsia" w:ascii="黑体" w:hAnsi="黑体" w:eastAsia="黑体" w:cs="黑体"/>
          <w:sz w:val="32"/>
          <w:szCs w:val="32"/>
          <w:u w:val="none"/>
        </w:rPr>
      </w:pPr>
    </w:p>
    <w:p w14:paraId="4DAF3FA3">
      <w:pPr>
        <w:jc w:val="center"/>
        <w:rPr>
          <w:rFonts w:hint="eastAsia" w:ascii="黑体" w:hAnsi="黑体" w:eastAsia="黑体" w:cs="黑体"/>
          <w:sz w:val="32"/>
          <w:szCs w:val="32"/>
          <w:u w:val="none"/>
        </w:rPr>
      </w:pPr>
    </w:p>
    <w:p w14:paraId="2AF43A5B">
      <w:pPr>
        <w:jc w:val="center"/>
        <w:rPr>
          <w:rFonts w:hint="eastAsia" w:ascii="黑体" w:hAnsi="黑体" w:eastAsia="黑体" w:cs="黑体"/>
          <w:sz w:val="32"/>
          <w:szCs w:val="32"/>
          <w:u w:val="none"/>
        </w:rPr>
      </w:pPr>
    </w:p>
    <w:p w14:paraId="3EC574AA">
      <w:pPr>
        <w:jc w:val="center"/>
        <w:rPr>
          <w:rFonts w:hint="eastAsia" w:ascii="黑体" w:hAnsi="黑体" w:eastAsia="黑体" w:cs="黑体"/>
          <w:sz w:val="32"/>
          <w:szCs w:val="32"/>
          <w:u w:val="none"/>
        </w:rPr>
      </w:pPr>
    </w:p>
    <w:p w14:paraId="218B763D">
      <w:pPr>
        <w:jc w:val="center"/>
        <w:rPr>
          <w:rFonts w:hint="eastAsia" w:ascii="黑体" w:hAnsi="黑体" w:eastAsia="黑体" w:cs="黑体"/>
          <w:sz w:val="32"/>
          <w:szCs w:val="32"/>
          <w:u w:val="none"/>
        </w:rPr>
      </w:pPr>
    </w:p>
    <w:p w14:paraId="2F1C2CF6">
      <w:pPr>
        <w:jc w:val="center"/>
        <w:rPr>
          <w:rFonts w:hint="eastAsia" w:ascii="黑体" w:hAnsi="黑体" w:eastAsia="黑体" w:cs="黑体"/>
          <w:sz w:val="32"/>
          <w:szCs w:val="32"/>
          <w:u w:val="none"/>
        </w:rPr>
      </w:pPr>
    </w:p>
    <w:p w14:paraId="3FBCC732">
      <w:pPr>
        <w:jc w:val="center"/>
        <w:rPr>
          <w:rFonts w:hint="eastAsia" w:ascii="黑体" w:hAnsi="黑体" w:eastAsia="黑体" w:cs="黑体"/>
          <w:sz w:val="32"/>
          <w:szCs w:val="32"/>
          <w:u w:val="none"/>
        </w:rPr>
      </w:pPr>
    </w:p>
    <w:p w14:paraId="3D484E98">
      <w:pPr>
        <w:jc w:val="center"/>
        <w:rPr>
          <w:rFonts w:hint="eastAsia" w:ascii="黑体" w:hAnsi="黑体" w:eastAsia="黑体" w:cs="黑体"/>
          <w:sz w:val="32"/>
          <w:szCs w:val="32"/>
          <w:u w:val="none"/>
        </w:rPr>
      </w:pPr>
    </w:p>
    <w:p w14:paraId="0B3DF31C">
      <w:pPr>
        <w:jc w:val="center"/>
        <w:rPr>
          <w:rFonts w:hint="eastAsia" w:ascii="黑体" w:hAnsi="黑体" w:eastAsia="黑体" w:cs="黑体"/>
          <w:sz w:val="32"/>
          <w:szCs w:val="32"/>
          <w:u w:val="none"/>
        </w:rPr>
      </w:pPr>
    </w:p>
    <w:p w14:paraId="25E32B3E">
      <w:pPr>
        <w:jc w:val="center"/>
        <w:rPr>
          <w:rFonts w:hint="eastAsia" w:ascii="黑体" w:hAnsi="黑体" w:eastAsia="黑体" w:cs="黑体"/>
          <w:sz w:val="32"/>
          <w:szCs w:val="32"/>
          <w:u w:val="none"/>
        </w:rPr>
      </w:pPr>
    </w:p>
    <w:p w14:paraId="7A839F51">
      <w:pPr>
        <w:jc w:val="center"/>
        <w:rPr>
          <w:rFonts w:hint="eastAsia" w:ascii="黑体" w:hAnsi="黑体" w:eastAsia="黑体" w:cs="黑体"/>
          <w:sz w:val="32"/>
          <w:szCs w:val="32"/>
          <w:u w:val="none"/>
        </w:rPr>
      </w:pPr>
    </w:p>
    <w:p w14:paraId="61099458">
      <w:pPr>
        <w:jc w:val="center"/>
        <w:rPr>
          <w:rFonts w:hint="eastAsia" w:ascii="黑体" w:hAnsi="黑体" w:eastAsia="黑体" w:cs="黑体"/>
          <w:sz w:val="32"/>
          <w:szCs w:val="32"/>
          <w:u w:val="none"/>
        </w:rPr>
      </w:pPr>
    </w:p>
    <w:p w14:paraId="761B0DB5">
      <w:pPr>
        <w:jc w:val="center"/>
        <w:rPr>
          <w:rFonts w:hint="eastAsia" w:ascii="黑体" w:hAnsi="黑体" w:eastAsia="黑体" w:cs="黑体"/>
          <w:sz w:val="32"/>
          <w:szCs w:val="32"/>
          <w:u w:val="none"/>
        </w:rPr>
      </w:pPr>
    </w:p>
    <w:p w14:paraId="5CA841FC">
      <w:pPr>
        <w:jc w:val="center"/>
        <w:rPr>
          <w:rFonts w:hint="eastAsia" w:ascii="黑体" w:hAnsi="黑体" w:eastAsia="黑体" w:cs="黑体"/>
          <w:sz w:val="32"/>
          <w:szCs w:val="32"/>
          <w:u w:val="none"/>
        </w:rPr>
      </w:pPr>
    </w:p>
    <w:p w14:paraId="7341787A">
      <w:pPr>
        <w:jc w:val="center"/>
        <w:rPr>
          <w:rFonts w:hint="default" w:ascii="黑体" w:hAnsi="黑体" w:eastAsia="黑体" w:cs="黑体"/>
          <w:sz w:val="32"/>
          <w:szCs w:val="32"/>
          <w:u w:val="none"/>
          <w:lang w:val="en-US" w:eastAsia="zh-CN"/>
        </w:rPr>
      </w:pPr>
      <w:r>
        <w:rPr>
          <w:rFonts w:hint="eastAsia" w:ascii="黑体" w:hAnsi="黑体" w:eastAsia="黑体" w:cs="黑体"/>
          <w:sz w:val="32"/>
          <w:szCs w:val="32"/>
          <w:u w:val="none"/>
        </w:rPr>
        <w:t>科技重大专项申报选题表（</w:t>
      </w:r>
      <w:r>
        <w:rPr>
          <w:rFonts w:hint="eastAsia" w:ascii="黑体" w:hAnsi="黑体" w:eastAsia="黑体" w:cs="黑体"/>
          <w:sz w:val="32"/>
          <w:szCs w:val="32"/>
          <w:u w:val="none"/>
          <w:lang w:eastAsia="zh-CN"/>
        </w:rPr>
        <w:t>二</w:t>
      </w:r>
      <w:r>
        <w:rPr>
          <w:rFonts w:hint="eastAsia" w:ascii="黑体" w:hAnsi="黑体" w:eastAsia="黑体" w:cs="黑体"/>
          <w:sz w:val="32"/>
          <w:szCs w:val="32"/>
          <w:u w:val="none"/>
        </w:rPr>
        <w:t>）指南代码</w:t>
      </w:r>
      <w:r>
        <w:rPr>
          <w:rFonts w:ascii="黑体" w:hAnsi="黑体" w:eastAsia="黑体" w:cs="黑体"/>
          <w:sz w:val="32"/>
          <w:szCs w:val="32"/>
          <w:u w:val="none"/>
        </w:rPr>
        <w:t>202</w:t>
      </w:r>
      <w:r>
        <w:rPr>
          <w:rFonts w:hint="eastAsia" w:ascii="黑体" w:hAnsi="黑体" w:eastAsia="黑体" w:cs="黑体"/>
          <w:sz w:val="32"/>
          <w:szCs w:val="32"/>
          <w:u w:val="none"/>
          <w:lang w:val="en-US" w:eastAsia="zh-CN"/>
        </w:rPr>
        <w:t>6HZ0102</w:t>
      </w:r>
    </w:p>
    <w:tbl>
      <w:tblPr>
        <w:tblStyle w:val="12"/>
        <w:tblW w:w="9429" w:type="dxa"/>
        <w:tblInd w:w="-1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70"/>
        <w:gridCol w:w="1314"/>
        <w:gridCol w:w="3742"/>
        <w:gridCol w:w="1447"/>
        <w:gridCol w:w="1556"/>
      </w:tblGrid>
      <w:tr w14:paraId="25AE3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9" w:hRule="atLeast"/>
        </w:trPr>
        <w:tc>
          <w:tcPr>
            <w:tcW w:w="1370" w:type="dxa"/>
            <w:tcBorders>
              <w:top w:val="single" w:color="auto" w:sz="4" w:space="0"/>
              <w:left w:val="single" w:color="auto" w:sz="4" w:space="0"/>
              <w:bottom w:val="single" w:color="auto" w:sz="4" w:space="0"/>
              <w:right w:val="single" w:color="auto" w:sz="4" w:space="0"/>
            </w:tcBorders>
            <w:vAlign w:val="center"/>
          </w:tcPr>
          <w:p w14:paraId="218CF7D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bCs/>
                <w:kern w:val="0"/>
                <w:sz w:val="24"/>
                <w:szCs w:val="24"/>
                <w:u w:val="none"/>
              </w:rPr>
            </w:pPr>
            <w:r>
              <w:rPr>
                <w:rFonts w:hint="eastAsia" w:ascii="黑体" w:hAnsi="黑体" w:eastAsia="黑体" w:cs="黑体"/>
                <w:bCs/>
                <w:kern w:val="0"/>
                <w:sz w:val="24"/>
                <w:szCs w:val="24"/>
                <w:u w:val="none"/>
              </w:rPr>
              <w:t>所属重大专项名称</w:t>
            </w:r>
          </w:p>
        </w:tc>
        <w:tc>
          <w:tcPr>
            <w:tcW w:w="1314" w:type="dxa"/>
            <w:tcBorders>
              <w:top w:val="single" w:color="auto" w:sz="4" w:space="0"/>
              <w:left w:val="single" w:color="auto" w:sz="4" w:space="0"/>
              <w:bottom w:val="single" w:color="auto" w:sz="4" w:space="0"/>
              <w:right w:val="single" w:color="auto" w:sz="4" w:space="0"/>
            </w:tcBorders>
            <w:vAlign w:val="center"/>
          </w:tcPr>
          <w:p w14:paraId="717086D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sz w:val="24"/>
                <w:szCs w:val="24"/>
                <w:u w:val="none"/>
              </w:rPr>
            </w:pPr>
            <w:r>
              <w:rPr>
                <w:rFonts w:hint="eastAsia" w:ascii="黑体" w:hAnsi="黑体" w:eastAsia="黑体" w:cs="黑体"/>
                <w:sz w:val="24"/>
                <w:szCs w:val="24"/>
                <w:u w:val="none"/>
              </w:rPr>
              <w:t>选题</w:t>
            </w:r>
          </w:p>
          <w:p w14:paraId="7496FCF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sz w:val="24"/>
                <w:szCs w:val="24"/>
                <w:u w:val="none"/>
              </w:rPr>
            </w:pPr>
            <w:r>
              <w:rPr>
                <w:rFonts w:hint="eastAsia" w:ascii="黑体" w:hAnsi="黑体" w:eastAsia="黑体" w:cs="黑体"/>
                <w:sz w:val="24"/>
                <w:szCs w:val="24"/>
                <w:u w:val="none"/>
              </w:rPr>
              <w:t>方向</w:t>
            </w:r>
          </w:p>
        </w:tc>
        <w:tc>
          <w:tcPr>
            <w:tcW w:w="3742" w:type="dxa"/>
            <w:tcBorders>
              <w:top w:val="single" w:color="auto" w:sz="4" w:space="0"/>
              <w:left w:val="single" w:color="auto" w:sz="4" w:space="0"/>
              <w:bottom w:val="single" w:color="auto" w:sz="4" w:space="0"/>
              <w:right w:val="single" w:color="auto" w:sz="4" w:space="0"/>
            </w:tcBorders>
            <w:vAlign w:val="center"/>
          </w:tcPr>
          <w:p w14:paraId="3292B22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sz w:val="24"/>
                <w:szCs w:val="24"/>
                <w:u w:val="none"/>
              </w:rPr>
            </w:pPr>
            <w:r>
              <w:rPr>
                <w:rFonts w:hint="eastAsia" w:ascii="黑体" w:hAnsi="黑体" w:eastAsia="黑体" w:cs="黑体"/>
                <w:sz w:val="24"/>
                <w:szCs w:val="24"/>
                <w:u w:val="none"/>
              </w:rPr>
              <w:t>选题方向重点内容</w:t>
            </w:r>
          </w:p>
        </w:tc>
        <w:tc>
          <w:tcPr>
            <w:tcW w:w="1447" w:type="dxa"/>
            <w:tcBorders>
              <w:top w:val="single" w:color="auto" w:sz="4" w:space="0"/>
              <w:left w:val="single" w:color="auto" w:sz="4" w:space="0"/>
              <w:bottom w:val="single" w:color="auto" w:sz="4" w:space="0"/>
              <w:right w:val="single" w:color="auto" w:sz="4" w:space="0"/>
            </w:tcBorders>
            <w:vAlign w:val="center"/>
          </w:tcPr>
          <w:p w14:paraId="0786AA1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sz w:val="24"/>
                <w:szCs w:val="24"/>
                <w:u w:val="none"/>
              </w:rPr>
            </w:pPr>
            <w:r>
              <w:rPr>
                <w:rFonts w:hint="eastAsia" w:ascii="黑体" w:hAnsi="黑体" w:eastAsia="黑体" w:cs="黑体"/>
                <w:sz w:val="24"/>
                <w:szCs w:val="24"/>
                <w:u w:val="none"/>
                <w:lang w:eastAsia="zh-CN"/>
              </w:rPr>
              <w:t>最高</w:t>
            </w:r>
            <w:r>
              <w:rPr>
                <w:rFonts w:hint="eastAsia" w:ascii="黑体" w:hAnsi="黑体" w:eastAsia="黑体" w:cs="黑体"/>
                <w:sz w:val="24"/>
                <w:szCs w:val="24"/>
                <w:u w:val="none"/>
              </w:rPr>
              <w:t>申请资助经费</w:t>
            </w:r>
          </w:p>
          <w:p w14:paraId="6BE7873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sz w:val="24"/>
                <w:szCs w:val="24"/>
                <w:u w:val="none"/>
              </w:rPr>
            </w:pPr>
            <w:r>
              <w:rPr>
                <w:rFonts w:hint="eastAsia" w:ascii="黑体" w:hAnsi="黑体" w:eastAsia="黑体" w:cs="黑体"/>
                <w:sz w:val="24"/>
                <w:szCs w:val="24"/>
                <w:u w:val="none"/>
              </w:rPr>
              <w:t>（万元）</w:t>
            </w:r>
          </w:p>
        </w:tc>
        <w:tc>
          <w:tcPr>
            <w:tcW w:w="1556" w:type="dxa"/>
            <w:tcBorders>
              <w:top w:val="single" w:color="auto" w:sz="4" w:space="0"/>
              <w:left w:val="single" w:color="auto" w:sz="4" w:space="0"/>
              <w:bottom w:val="single" w:color="auto" w:sz="4" w:space="0"/>
              <w:right w:val="single" w:color="auto" w:sz="4" w:space="0"/>
            </w:tcBorders>
            <w:vAlign w:val="center"/>
          </w:tcPr>
          <w:p w14:paraId="109FEFC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sz w:val="24"/>
                <w:szCs w:val="24"/>
                <w:u w:val="none"/>
              </w:rPr>
            </w:pPr>
            <w:r>
              <w:rPr>
                <w:rFonts w:hint="eastAsia" w:ascii="黑体" w:hAnsi="黑体" w:eastAsia="黑体" w:cs="黑体"/>
                <w:b/>
                <w:sz w:val="24"/>
                <w:szCs w:val="24"/>
                <w:u w:val="none"/>
              </w:rPr>
              <w:t>要求</w:t>
            </w:r>
          </w:p>
        </w:tc>
      </w:tr>
      <w:tr w14:paraId="1CEA7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9" w:hRule="atLeast"/>
        </w:trPr>
        <w:tc>
          <w:tcPr>
            <w:tcW w:w="1370" w:type="dxa"/>
            <w:tcBorders>
              <w:top w:val="single" w:color="auto" w:sz="4" w:space="0"/>
              <w:left w:val="single" w:color="auto" w:sz="4" w:space="0"/>
              <w:bottom w:val="single" w:color="auto" w:sz="4" w:space="0"/>
              <w:right w:val="single" w:color="auto" w:sz="4" w:space="0"/>
            </w:tcBorders>
            <w:vAlign w:val="center"/>
          </w:tcPr>
          <w:p w14:paraId="488B45F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Cs/>
                <w:kern w:val="0"/>
                <w:sz w:val="24"/>
                <w:szCs w:val="24"/>
                <w:u w:val="none"/>
              </w:rPr>
            </w:pPr>
            <w:r>
              <w:rPr>
                <w:rFonts w:hint="eastAsia" w:ascii="仿宋_GB2312" w:hAnsi="仿宋_GB2312" w:eastAsia="仿宋_GB2312" w:cs="仿宋_GB2312"/>
                <w:sz w:val="24"/>
                <w:szCs w:val="24"/>
                <w:u w:val="none"/>
              </w:rPr>
              <w:t>先进高分子材料及复合材料</w:t>
            </w:r>
          </w:p>
        </w:tc>
        <w:tc>
          <w:tcPr>
            <w:tcW w:w="1314" w:type="dxa"/>
            <w:tcBorders>
              <w:top w:val="single" w:color="auto" w:sz="4" w:space="0"/>
              <w:left w:val="single" w:color="auto" w:sz="4" w:space="0"/>
              <w:bottom w:val="single" w:color="auto" w:sz="4" w:space="0"/>
              <w:right w:val="single" w:color="auto" w:sz="4" w:space="0"/>
            </w:tcBorders>
            <w:vAlign w:val="center"/>
          </w:tcPr>
          <w:p w14:paraId="56B6A58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竹绒毛浆制备关键技术研发及产业化</w:t>
            </w:r>
          </w:p>
        </w:tc>
        <w:tc>
          <w:tcPr>
            <w:tcW w:w="3742" w:type="dxa"/>
            <w:tcBorders>
              <w:top w:val="single" w:color="auto" w:sz="4" w:space="0"/>
              <w:left w:val="single" w:color="auto" w:sz="4" w:space="0"/>
              <w:bottom w:val="single" w:color="auto" w:sz="4" w:space="0"/>
              <w:right w:val="single" w:color="auto" w:sz="4" w:space="0"/>
            </w:tcBorders>
            <w:vAlign w:val="center"/>
          </w:tcPr>
          <w:p w14:paraId="1EDCDFC4">
            <w:pPr>
              <w:keepNext w:val="0"/>
              <w:keepLines w:val="0"/>
              <w:pageBreakBefore w:val="0"/>
              <w:widowControl w:val="0"/>
              <w:kinsoku/>
              <w:wordWrap/>
              <w:overflowPunct/>
              <w:topLinePunct w:val="0"/>
              <w:autoSpaceDE/>
              <w:autoSpaceDN/>
              <w:bidi w:val="0"/>
              <w:adjustRightInd/>
              <w:snapToGrid/>
              <w:spacing w:line="340" w:lineRule="exact"/>
              <w:ind w:firstLine="514" w:firstLineChars="200"/>
              <w:jc w:val="both"/>
              <w:textAlignment w:val="auto"/>
              <w:rPr>
                <w:rFonts w:hint="eastAsia" w:ascii="仿宋_GB2312" w:hAnsi="仿宋_GB2312" w:eastAsia="仿宋_GB2312" w:cs="仿宋_GB2312"/>
                <w:b/>
                <w:bCs/>
                <w:color w:val="auto"/>
                <w:sz w:val="24"/>
                <w:szCs w:val="24"/>
                <w:u w:val="none"/>
                <w:lang w:eastAsia="zh-CN"/>
              </w:rPr>
            </w:pPr>
            <w:r>
              <w:rPr>
                <w:rFonts w:hint="eastAsia" w:ascii="仿宋_GB2312" w:hAnsi="仿宋_GB2312" w:cs="仿宋_GB2312"/>
                <w:b/>
                <w:bCs/>
                <w:color w:val="auto"/>
                <w:sz w:val="24"/>
                <w:szCs w:val="24"/>
                <w:u w:val="none"/>
                <w:lang w:eastAsia="zh-CN"/>
              </w:rPr>
              <w:t>一、主要研究内容</w:t>
            </w:r>
          </w:p>
          <w:p w14:paraId="485E285D">
            <w:pPr>
              <w:keepNext w:val="0"/>
              <w:keepLines w:val="0"/>
              <w:pageBreakBefore w:val="0"/>
              <w:widowControl w:val="0"/>
              <w:kinsoku/>
              <w:wordWrap/>
              <w:overflowPunct/>
              <w:topLinePunct w:val="0"/>
              <w:autoSpaceDE/>
              <w:autoSpaceDN/>
              <w:bidi w:val="0"/>
              <w:adjustRightInd/>
              <w:snapToGrid/>
              <w:spacing w:line="340" w:lineRule="exact"/>
              <w:ind w:firstLine="514" w:firstLineChars="200"/>
              <w:jc w:val="both"/>
              <w:textAlignment w:val="auto"/>
              <w:rPr>
                <w:rFonts w:hint="eastAsia" w:ascii="仿宋_GB2312" w:hAnsi="仿宋_GB2312" w:eastAsia="仿宋_GB2312" w:cs="仿宋_GB2312"/>
                <w:color w:val="auto"/>
                <w:sz w:val="24"/>
                <w:szCs w:val="24"/>
                <w:u w:val="none"/>
              </w:rPr>
            </w:pPr>
            <w:r>
              <w:rPr>
                <w:rFonts w:hint="eastAsia" w:ascii="仿宋_GB2312" w:hAnsi="仿宋_GB2312" w:eastAsia="仿宋_GB2312" w:cs="仿宋_GB2312"/>
                <w:color w:val="auto"/>
                <w:sz w:val="24"/>
                <w:szCs w:val="24"/>
                <w:u w:val="none"/>
              </w:rPr>
              <w:t>针对竹材组织结构致密、杂细胞含量高，制备绒毛浆存在起绒困难、吸液性能偏弱等问题，重点研究竹材木质素高选择性脱除机制，研发竹材深度脱木质素蒸煮及竹浆无元素氯漂白技术、竹绒毛浆纤维物理化学调控技术，创新竹绒毛浆成型、压榨、干燥技术与装备，建立竹绒毛浆的示范生产线；探究绒毛浆特征对卫生用品性能的影响，为竹绒毛浆制备卫生用品提供示范。</w:t>
            </w:r>
          </w:p>
          <w:p w14:paraId="56E543F8">
            <w:pPr>
              <w:keepNext w:val="0"/>
              <w:keepLines w:val="0"/>
              <w:pageBreakBefore w:val="0"/>
              <w:widowControl w:val="0"/>
              <w:kinsoku/>
              <w:wordWrap/>
              <w:overflowPunct/>
              <w:topLinePunct w:val="0"/>
              <w:autoSpaceDE/>
              <w:autoSpaceDN/>
              <w:bidi w:val="0"/>
              <w:adjustRightInd/>
              <w:snapToGrid/>
              <w:spacing w:line="340" w:lineRule="exact"/>
              <w:ind w:firstLine="514" w:firstLineChars="200"/>
              <w:jc w:val="both"/>
              <w:textAlignment w:val="auto"/>
              <w:rPr>
                <w:rFonts w:hint="default" w:ascii="仿宋_GB2312" w:hAnsi="仿宋_GB2312" w:eastAsia="仿宋_GB2312" w:cs="仿宋_GB2312"/>
                <w:b/>
                <w:bCs/>
                <w:color w:val="auto"/>
                <w:sz w:val="24"/>
                <w:szCs w:val="24"/>
                <w:u w:val="none"/>
                <w:lang w:val="en-US" w:eastAsia="zh-CN"/>
              </w:rPr>
            </w:pPr>
            <w:r>
              <w:rPr>
                <w:rFonts w:hint="eastAsia" w:ascii="仿宋_GB2312" w:hAnsi="仿宋_GB2312" w:cs="仿宋_GB2312"/>
                <w:b/>
                <w:bCs/>
                <w:color w:val="auto"/>
                <w:sz w:val="24"/>
                <w:szCs w:val="24"/>
                <w:u w:val="none"/>
                <w:lang w:eastAsia="zh-CN"/>
              </w:rPr>
              <w:t>二、预期指标</w:t>
            </w:r>
          </w:p>
          <w:p w14:paraId="3D2509CB">
            <w:pPr>
              <w:keepNext w:val="0"/>
              <w:keepLines w:val="0"/>
              <w:pageBreakBefore w:val="0"/>
              <w:widowControl w:val="0"/>
              <w:kinsoku/>
              <w:wordWrap/>
              <w:overflowPunct/>
              <w:topLinePunct w:val="0"/>
              <w:autoSpaceDE/>
              <w:autoSpaceDN/>
              <w:bidi w:val="0"/>
              <w:adjustRightInd/>
              <w:snapToGrid/>
              <w:spacing w:line="340" w:lineRule="exact"/>
              <w:ind w:firstLine="514" w:firstLineChars="200"/>
              <w:jc w:val="both"/>
              <w:textAlignment w:val="auto"/>
              <w:rPr>
                <w:rFonts w:hint="eastAsia" w:ascii="仿宋_GB2312" w:hAnsi="仿宋_GB2312" w:eastAsia="仿宋_GB2312" w:cs="仿宋_GB2312"/>
                <w:color w:val="auto"/>
                <w:sz w:val="24"/>
                <w:szCs w:val="24"/>
                <w:u w:val="none"/>
                <w:lang w:eastAsia="zh-CN"/>
              </w:rPr>
            </w:pPr>
            <w:r>
              <w:rPr>
                <w:rFonts w:hint="eastAsia" w:ascii="仿宋_GB2312" w:hAnsi="仿宋_GB2312" w:cs="仿宋_GB2312"/>
                <w:color w:val="auto"/>
                <w:sz w:val="24"/>
                <w:szCs w:val="24"/>
                <w:u w:val="none"/>
                <w:lang w:eastAsia="zh-CN"/>
              </w:rPr>
              <w:t>（一）</w:t>
            </w:r>
            <w:r>
              <w:rPr>
                <w:rFonts w:hint="eastAsia" w:ascii="仿宋_GB2312" w:hAnsi="仿宋_GB2312" w:eastAsia="仿宋_GB2312" w:cs="仿宋_GB2312"/>
                <w:color w:val="auto"/>
                <w:sz w:val="24"/>
                <w:szCs w:val="24"/>
                <w:u w:val="none"/>
                <w:lang w:eastAsia="zh-CN"/>
              </w:rPr>
              <w:t>主要技术指标：</w:t>
            </w:r>
            <w:r>
              <w:rPr>
                <w:rFonts w:hint="eastAsia" w:ascii="仿宋_GB2312" w:hAnsi="仿宋_GB2312" w:eastAsia="仿宋_GB2312" w:cs="仿宋_GB2312"/>
                <w:color w:val="auto"/>
                <w:sz w:val="24"/>
                <w:szCs w:val="24"/>
                <w:u w:val="none"/>
              </w:rPr>
              <w:t>竹绒毛浆</w:t>
            </w:r>
            <w:r>
              <w:rPr>
                <w:rFonts w:hint="eastAsia" w:ascii="仿宋_GB2312" w:hAnsi="仿宋_GB2312" w:eastAsia="仿宋_GB2312" w:cs="仿宋_GB2312"/>
                <w:color w:val="auto"/>
                <w:sz w:val="24"/>
                <w:szCs w:val="24"/>
                <w:u w:val="none"/>
                <w:lang w:eastAsia="zh-CN"/>
              </w:rPr>
              <w:t>处理浆</w:t>
            </w:r>
            <w:r>
              <w:rPr>
                <w:rFonts w:hint="eastAsia" w:ascii="仿宋_GB2312" w:hAnsi="仿宋_GB2312" w:eastAsia="仿宋_GB2312" w:cs="仿宋_GB2312"/>
                <w:color w:val="auto"/>
                <w:sz w:val="24"/>
                <w:szCs w:val="24"/>
                <w:u w:val="none"/>
              </w:rPr>
              <w:t>的D65亮度</w:t>
            </w:r>
            <w:r>
              <w:rPr>
                <w:rFonts w:hint="eastAsia" w:ascii="仿宋_GB2312" w:hAnsi="仿宋_GB2312" w:eastAsia="仿宋_GB2312" w:cs="仿宋_GB2312"/>
                <w:color w:val="auto"/>
                <w:sz w:val="24"/>
                <w:szCs w:val="24"/>
                <w:u w:val="none"/>
                <w:lang w:eastAsia="zh-CN"/>
              </w:rPr>
              <w:t>（正反面平均）</w:t>
            </w:r>
            <w:r>
              <w:rPr>
                <w:rFonts w:hint="eastAsia" w:ascii="仿宋_GB2312" w:hAnsi="仿宋_GB2312" w:eastAsia="仿宋_GB2312" w:cs="仿宋_GB2312"/>
                <w:color w:val="auto"/>
                <w:sz w:val="24"/>
                <w:szCs w:val="24"/>
                <w:u w:val="none"/>
              </w:rPr>
              <w:t>≤90%，尘埃度（0.4 mm²-1.0 mm²）≤25 mm²/500 g，耐破度≤800 kPa，干蓬松度≥17 cm³/g，吸水时间≤8 s，吸水量≥8 g/g，</w:t>
            </w:r>
            <w:r>
              <w:rPr>
                <w:rFonts w:hint="eastAsia" w:ascii="仿宋_GB2312" w:hAnsi="仿宋_GB2312" w:eastAsia="仿宋_GB2312" w:cs="仿宋_GB2312"/>
                <w:color w:val="auto"/>
                <w:sz w:val="24"/>
                <w:szCs w:val="24"/>
                <w:u w:val="none"/>
                <w:lang w:eastAsia="zh-CN"/>
              </w:rPr>
              <w:t>重金属</w:t>
            </w:r>
            <w:r>
              <w:rPr>
                <w:rFonts w:hint="eastAsia" w:ascii="仿宋_GB2312" w:hAnsi="仿宋_GB2312" w:eastAsia="仿宋_GB2312" w:cs="仿宋_GB2312"/>
                <w:color w:val="auto"/>
                <w:sz w:val="24"/>
                <w:szCs w:val="24"/>
                <w:u w:val="none"/>
              </w:rPr>
              <w:t>铅含量≤10 mg/kg，砷含量≤2 mg/kg，镉含量≤5 mg/kg；轻度失禁用成人纸尿裤的条质量偏差±10%，杂质（＞5 mm</w:t>
            </w:r>
            <w:r>
              <w:rPr>
                <w:rFonts w:hint="eastAsia" w:ascii="仿宋_GB2312" w:hAnsi="仿宋_GB2312" w:eastAsia="仿宋_GB2312" w:cs="仿宋_GB2312"/>
                <w:color w:val="auto"/>
                <w:sz w:val="24"/>
                <w:szCs w:val="24"/>
                <w:u w:val="none"/>
                <w:vertAlign w:val="superscript"/>
              </w:rPr>
              <w:t>2</w:t>
            </w:r>
            <w:r>
              <w:rPr>
                <w:rFonts w:hint="eastAsia" w:ascii="仿宋_GB2312" w:hAnsi="仿宋_GB2312" w:eastAsia="仿宋_GB2312" w:cs="仿宋_GB2312"/>
                <w:color w:val="auto"/>
                <w:sz w:val="24"/>
                <w:szCs w:val="24"/>
                <w:u w:val="none"/>
              </w:rPr>
              <w:t>）不应有，吸收倍率≥7倍</w:t>
            </w:r>
            <w:r>
              <w:rPr>
                <w:rFonts w:hint="eastAsia" w:ascii="仿宋_GB2312" w:hAnsi="仿宋_GB2312" w:eastAsia="仿宋_GB2312" w:cs="仿宋_GB2312"/>
                <w:color w:val="auto"/>
                <w:sz w:val="24"/>
                <w:szCs w:val="24"/>
                <w:u w:val="none"/>
                <w:lang w:eastAsia="zh-CN"/>
              </w:rPr>
              <w:t>。</w:t>
            </w:r>
          </w:p>
          <w:p w14:paraId="52FD244A">
            <w:pPr>
              <w:keepNext w:val="0"/>
              <w:keepLines w:val="0"/>
              <w:pageBreakBefore w:val="0"/>
              <w:widowControl w:val="0"/>
              <w:kinsoku/>
              <w:wordWrap/>
              <w:overflowPunct/>
              <w:topLinePunct w:val="0"/>
              <w:autoSpaceDE/>
              <w:autoSpaceDN/>
              <w:bidi w:val="0"/>
              <w:adjustRightInd/>
              <w:snapToGrid/>
              <w:spacing w:line="340" w:lineRule="exact"/>
              <w:ind w:firstLine="514" w:firstLineChars="200"/>
              <w:jc w:val="both"/>
              <w:textAlignment w:val="auto"/>
              <w:rPr>
                <w:rFonts w:hint="eastAsia" w:ascii="仿宋_GB2312" w:hAnsi="仿宋_GB2312" w:eastAsia="仿宋_GB2312" w:cs="仿宋_GB2312"/>
                <w:color w:val="auto"/>
                <w:sz w:val="24"/>
                <w:szCs w:val="24"/>
                <w:u w:val="none"/>
                <w:lang w:val="en-US" w:eastAsia="zh-CN"/>
              </w:rPr>
            </w:pPr>
            <w:r>
              <w:rPr>
                <w:rFonts w:hint="eastAsia" w:ascii="仿宋_GB2312" w:hAnsi="仿宋_GB2312" w:cs="仿宋_GB2312"/>
                <w:color w:val="auto"/>
                <w:sz w:val="24"/>
                <w:szCs w:val="24"/>
                <w:u w:val="none"/>
                <w:lang w:val="en-US" w:eastAsia="zh-CN"/>
              </w:rPr>
              <w:t>（二）</w:t>
            </w:r>
            <w:r>
              <w:rPr>
                <w:rFonts w:hint="eastAsia" w:ascii="仿宋_GB2312" w:hAnsi="仿宋_GB2312" w:eastAsia="仿宋_GB2312" w:cs="仿宋_GB2312"/>
                <w:color w:val="auto"/>
                <w:sz w:val="24"/>
                <w:szCs w:val="24"/>
                <w:u w:val="none"/>
                <w:lang w:val="en-US" w:eastAsia="zh-CN"/>
              </w:rPr>
              <w:t>成果指标：</w:t>
            </w:r>
            <w:r>
              <w:rPr>
                <w:rFonts w:hint="eastAsia" w:ascii="仿宋_GB2312" w:hAnsi="仿宋_GB2312" w:eastAsia="仿宋_GB2312" w:cs="仿宋_GB2312"/>
                <w:color w:val="auto"/>
                <w:sz w:val="24"/>
                <w:szCs w:val="24"/>
                <w:u w:val="none"/>
              </w:rPr>
              <w:t>申请发明专利2件，发表论文2篇，培养</w:t>
            </w:r>
            <w:r>
              <w:rPr>
                <w:rFonts w:hint="eastAsia" w:ascii="仿宋_GB2312" w:hAnsi="仿宋_GB2312" w:eastAsia="仿宋_GB2312" w:cs="仿宋_GB2312"/>
                <w:color w:val="auto"/>
                <w:sz w:val="24"/>
                <w:szCs w:val="24"/>
                <w:u w:val="none"/>
                <w:lang w:eastAsia="zh-CN"/>
              </w:rPr>
              <w:t>硕士</w:t>
            </w:r>
            <w:r>
              <w:rPr>
                <w:rFonts w:hint="eastAsia" w:ascii="仿宋_GB2312" w:hAnsi="仿宋_GB2312" w:eastAsia="仿宋_GB2312" w:cs="仿宋_GB2312"/>
                <w:color w:val="auto"/>
                <w:sz w:val="24"/>
                <w:szCs w:val="24"/>
                <w:u w:val="none"/>
              </w:rPr>
              <w:t>1名</w:t>
            </w:r>
            <w:r>
              <w:rPr>
                <w:rFonts w:hint="eastAsia" w:ascii="仿宋_GB2312" w:hAnsi="仿宋_GB2312" w:eastAsia="仿宋_GB2312" w:cs="仿宋_GB2312"/>
                <w:color w:val="auto"/>
                <w:sz w:val="24"/>
                <w:szCs w:val="24"/>
                <w:u w:val="none"/>
                <w:lang w:eastAsia="zh-CN"/>
              </w:rPr>
              <w:t>。</w:t>
            </w:r>
          </w:p>
          <w:p w14:paraId="062E4FFC">
            <w:pPr>
              <w:keepNext w:val="0"/>
              <w:keepLines w:val="0"/>
              <w:pageBreakBefore w:val="0"/>
              <w:widowControl w:val="0"/>
              <w:kinsoku/>
              <w:wordWrap/>
              <w:overflowPunct/>
              <w:topLinePunct w:val="0"/>
              <w:autoSpaceDE/>
              <w:autoSpaceDN/>
              <w:bidi w:val="0"/>
              <w:adjustRightInd/>
              <w:snapToGrid/>
              <w:spacing w:line="340" w:lineRule="exact"/>
              <w:ind w:firstLine="514" w:firstLineChars="200"/>
              <w:jc w:val="both"/>
              <w:textAlignment w:val="auto"/>
              <w:rPr>
                <w:rFonts w:hint="eastAsia" w:ascii="仿宋_GB2312" w:hAnsi="仿宋_GB2312" w:eastAsia="仿宋_GB2312" w:cs="仿宋_GB2312"/>
                <w:sz w:val="24"/>
                <w:szCs w:val="24"/>
                <w:u w:val="none"/>
              </w:rPr>
            </w:pPr>
            <w:r>
              <w:rPr>
                <w:rFonts w:hint="eastAsia" w:ascii="仿宋_GB2312" w:hAnsi="仿宋_GB2312" w:cs="仿宋_GB2312"/>
                <w:color w:val="auto"/>
                <w:sz w:val="24"/>
                <w:szCs w:val="24"/>
                <w:u w:val="none"/>
                <w:lang w:eastAsia="zh-CN"/>
              </w:rPr>
              <w:t>（三）</w:t>
            </w:r>
            <w:r>
              <w:rPr>
                <w:rFonts w:hint="eastAsia" w:ascii="仿宋_GB2312" w:hAnsi="仿宋_GB2312" w:eastAsia="仿宋_GB2312" w:cs="仿宋_GB2312"/>
                <w:color w:val="auto"/>
                <w:sz w:val="24"/>
                <w:szCs w:val="24"/>
                <w:u w:val="none"/>
                <w:lang w:eastAsia="zh-CN"/>
              </w:rPr>
              <w:t>经济社会效益指标：</w:t>
            </w:r>
            <w:r>
              <w:rPr>
                <w:rFonts w:hint="eastAsia" w:ascii="仿宋_GB2312" w:hAnsi="仿宋_GB2312" w:eastAsia="仿宋_GB2312" w:cs="仿宋_GB2312"/>
                <w:color w:val="auto"/>
                <w:sz w:val="24"/>
                <w:szCs w:val="24"/>
                <w:u w:val="none"/>
              </w:rPr>
              <w:t>项目新增产值3000万元</w:t>
            </w:r>
            <w:r>
              <w:rPr>
                <w:rFonts w:hint="eastAsia" w:ascii="仿宋_GB2312" w:hAnsi="仿宋_GB2312" w:eastAsia="仿宋_GB2312" w:cs="仿宋_GB2312"/>
                <w:color w:val="auto"/>
                <w:sz w:val="24"/>
                <w:szCs w:val="24"/>
                <w:u w:val="none"/>
                <w:lang w:eastAsia="zh-CN"/>
              </w:rPr>
              <w:t>，</w:t>
            </w:r>
            <w:r>
              <w:rPr>
                <w:rFonts w:hint="eastAsia" w:ascii="仿宋_GB2312" w:hAnsi="仿宋_GB2312" w:eastAsia="仿宋_GB2312" w:cs="仿宋_GB2312"/>
                <w:color w:val="auto"/>
                <w:sz w:val="24"/>
                <w:szCs w:val="24"/>
                <w:u w:val="none"/>
              </w:rPr>
              <w:t>建立竹绒毛浆产业化示范生产线。</w:t>
            </w:r>
          </w:p>
        </w:tc>
        <w:tc>
          <w:tcPr>
            <w:tcW w:w="1447" w:type="dxa"/>
            <w:tcBorders>
              <w:top w:val="single" w:color="auto" w:sz="4" w:space="0"/>
              <w:left w:val="single" w:color="auto" w:sz="4" w:space="0"/>
              <w:bottom w:val="single" w:color="auto" w:sz="4" w:space="0"/>
              <w:right w:val="single" w:color="auto" w:sz="4" w:space="0"/>
            </w:tcBorders>
            <w:vAlign w:val="center"/>
          </w:tcPr>
          <w:p w14:paraId="36047E1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24"/>
                <w:szCs w:val="24"/>
                <w:u w:val="none"/>
                <w:lang w:eastAsia="zh-CN"/>
              </w:rPr>
            </w:pPr>
            <w:r>
              <w:rPr>
                <w:rFonts w:hint="eastAsia" w:ascii="仿宋_GB2312" w:hAnsi="仿宋_GB2312" w:eastAsia="仿宋_GB2312" w:cs="仿宋_GB2312"/>
                <w:sz w:val="24"/>
                <w:szCs w:val="24"/>
                <w:u w:val="none"/>
              </w:rPr>
              <w:t>300</w:t>
            </w:r>
          </w:p>
        </w:tc>
        <w:tc>
          <w:tcPr>
            <w:tcW w:w="1556" w:type="dxa"/>
            <w:tcBorders>
              <w:top w:val="single" w:color="auto" w:sz="4" w:space="0"/>
              <w:left w:val="single" w:color="auto" w:sz="4" w:space="0"/>
              <w:bottom w:val="single" w:color="auto" w:sz="4" w:space="0"/>
              <w:right w:val="single" w:color="auto" w:sz="4" w:space="0"/>
            </w:tcBorders>
            <w:vAlign w:val="center"/>
          </w:tcPr>
          <w:p w14:paraId="69F47BF2"/>
          <w:p w14:paraId="38509621"/>
          <w:p w14:paraId="272FBCD2">
            <w:r>
              <w:rPr>
                <w:rFonts w:hint="eastAsia" w:ascii="仿宋_GB2312" w:hAnsi="仿宋_GB2312" w:eastAsia="仿宋_GB2312" w:cs="仿宋_GB2312"/>
                <w:bCs/>
                <w:kern w:val="0"/>
                <w:sz w:val="24"/>
                <w:szCs w:val="24"/>
                <w:u w:val="none"/>
              </w:rPr>
              <w:t>申报单位须对本专题的整体研发内容和目标进行申报</w:t>
            </w:r>
          </w:p>
          <w:p w14:paraId="6E8E0DB8"/>
          <w:p w14:paraId="774658F5"/>
          <w:p w14:paraId="1241EC2B"/>
          <w:p w14:paraId="3D734D46"/>
          <w:p w14:paraId="5E1767BC"/>
          <w:p w14:paraId="79650D1B"/>
          <w:p w14:paraId="2359DB12"/>
          <w:p w14:paraId="36F59DDE"/>
          <w:p w14:paraId="6F41D57E"/>
          <w:p w14:paraId="64F1AEA4"/>
          <w:p w14:paraId="64566B8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24"/>
                <w:szCs w:val="24"/>
                <w:u w:val="none"/>
              </w:rPr>
            </w:pPr>
          </w:p>
        </w:tc>
      </w:tr>
    </w:tbl>
    <w:p w14:paraId="483B3CA4">
      <w:pPr>
        <w:jc w:val="center"/>
        <w:rPr>
          <w:rFonts w:hint="default" w:ascii="黑体" w:hAnsi="黑体" w:eastAsia="黑体" w:cs="黑体"/>
          <w:sz w:val="32"/>
          <w:szCs w:val="32"/>
          <w:u w:val="none"/>
          <w:lang w:val="en-US" w:eastAsia="zh-CN"/>
        </w:rPr>
      </w:pPr>
      <w:r>
        <w:rPr>
          <w:rFonts w:hint="eastAsia" w:ascii="黑体" w:hAnsi="黑体" w:eastAsia="黑体" w:cs="黑体"/>
          <w:sz w:val="32"/>
          <w:szCs w:val="32"/>
          <w:u w:val="none"/>
        </w:rPr>
        <w:t>科技重大专项申报选题表（</w:t>
      </w:r>
      <w:r>
        <w:rPr>
          <w:rFonts w:hint="eastAsia" w:ascii="黑体" w:hAnsi="黑体" w:eastAsia="黑体" w:cs="黑体"/>
          <w:sz w:val="32"/>
          <w:szCs w:val="32"/>
          <w:u w:val="none"/>
          <w:lang w:eastAsia="zh-CN"/>
        </w:rPr>
        <w:t>三</w:t>
      </w:r>
      <w:r>
        <w:rPr>
          <w:rFonts w:hint="eastAsia" w:ascii="黑体" w:hAnsi="黑体" w:eastAsia="黑体" w:cs="黑体"/>
          <w:sz w:val="32"/>
          <w:szCs w:val="32"/>
          <w:u w:val="none"/>
        </w:rPr>
        <w:t>）指南代码</w:t>
      </w:r>
      <w:r>
        <w:rPr>
          <w:rFonts w:ascii="黑体" w:hAnsi="黑体" w:eastAsia="黑体" w:cs="黑体"/>
          <w:sz w:val="32"/>
          <w:szCs w:val="32"/>
          <w:u w:val="none"/>
        </w:rPr>
        <w:t>202</w:t>
      </w:r>
      <w:r>
        <w:rPr>
          <w:rFonts w:hint="eastAsia" w:ascii="黑体" w:hAnsi="黑体" w:eastAsia="黑体" w:cs="黑体"/>
          <w:sz w:val="32"/>
          <w:szCs w:val="32"/>
          <w:u w:val="none"/>
          <w:lang w:val="en-US" w:eastAsia="zh-CN"/>
        </w:rPr>
        <w:t>6HZ0103</w:t>
      </w:r>
    </w:p>
    <w:tbl>
      <w:tblPr>
        <w:tblStyle w:val="12"/>
        <w:tblW w:w="9429" w:type="dxa"/>
        <w:tblInd w:w="-1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70"/>
        <w:gridCol w:w="1314"/>
        <w:gridCol w:w="3742"/>
        <w:gridCol w:w="1447"/>
        <w:gridCol w:w="1556"/>
      </w:tblGrid>
      <w:tr w14:paraId="44277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9" w:hRule="atLeast"/>
        </w:trPr>
        <w:tc>
          <w:tcPr>
            <w:tcW w:w="1370" w:type="dxa"/>
            <w:tcBorders>
              <w:top w:val="single" w:color="auto" w:sz="4" w:space="0"/>
              <w:left w:val="single" w:color="auto" w:sz="4" w:space="0"/>
              <w:bottom w:val="single" w:color="auto" w:sz="4" w:space="0"/>
              <w:right w:val="single" w:color="auto" w:sz="4" w:space="0"/>
            </w:tcBorders>
            <w:vAlign w:val="center"/>
          </w:tcPr>
          <w:p w14:paraId="60957FD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bCs/>
                <w:kern w:val="0"/>
                <w:sz w:val="24"/>
                <w:u w:val="none"/>
              </w:rPr>
            </w:pPr>
            <w:r>
              <w:rPr>
                <w:rFonts w:hint="eastAsia" w:ascii="黑体" w:hAnsi="黑体" w:eastAsia="黑体" w:cs="黑体"/>
                <w:bCs/>
                <w:kern w:val="0"/>
                <w:sz w:val="24"/>
                <w:u w:val="none"/>
              </w:rPr>
              <w:t>所属重大专项名称</w:t>
            </w:r>
          </w:p>
        </w:tc>
        <w:tc>
          <w:tcPr>
            <w:tcW w:w="1314" w:type="dxa"/>
            <w:tcBorders>
              <w:top w:val="single" w:color="auto" w:sz="4" w:space="0"/>
              <w:left w:val="single" w:color="auto" w:sz="4" w:space="0"/>
              <w:bottom w:val="single" w:color="auto" w:sz="4" w:space="0"/>
              <w:right w:val="single" w:color="auto" w:sz="4" w:space="0"/>
            </w:tcBorders>
            <w:vAlign w:val="center"/>
          </w:tcPr>
          <w:p w14:paraId="3231E4A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sz w:val="24"/>
                <w:u w:val="none"/>
              </w:rPr>
            </w:pPr>
            <w:r>
              <w:rPr>
                <w:rFonts w:hint="eastAsia" w:ascii="黑体" w:hAnsi="黑体" w:eastAsia="黑体" w:cs="黑体"/>
                <w:sz w:val="24"/>
                <w:u w:val="none"/>
              </w:rPr>
              <w:t>选题</w:t>
            </w:r>
          </w:p>
          <w:p w14:paraId="160AA81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sz w:val="24"/>
                <w:u w:val="none"/>
              </w:rPr>
            </w:pPr>
            <w:r>
              <w:rPr>
                <w:rFonts w:hint="eastAsia" w:ascii="黑体" w:hAnsi="黑体" w:eastAsia="黑体" w:cs="黑体"/>
                <w:sz w:val="24"/>
                <w:u w:val="none"/>
              </w:rPr>
              <w:t>方向</w:t>
            </w:r>
          </w:p>
        </w:tc>
        <w:tc>
          <w:tcPr>
            <w:tcW w:w="3742" w:type="dxa"/>
            <w:tcBorders>
              <w:top w:val="single" w:color="auto" w:sz="4" w:space="0"/>
              <w:left w:val="single" w:color="auto" w:sz="4" w:space="0"/>
              <w:bottom w:val="single" w:color="auto" w:sz="4" w:space="0"/>
              <w:right w:val="single" w:color="auto" w:sz="4" w:space="0"/>
            </w:tcBorders>
            <w:vAlign w:val="center"/>
          </w:tcPr>
          <w:p w14:paraId="5054658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sz w:val="24"/>
                <w:u w:val="none"/>
              </w:rPr>
            </w:pPr>
            <w:r>
              <w:rPr>
                <w:rFonts w:hint="eastAsia" w:ascii="黑体" w:hAnsi="黑体" w:eastAsia="黑体" w:cs="黑体"/>
                <w:sz w:val="24"/>
                <w:u w:val="none"/>
              </w:rPr>
              <w:t>选题方向重点内容</w:t>
            </w:r>
          </w:p>
        </w:tc>
        <w:tc>
          <w:tcPr>
            <w:tcW w:w="1447" w:type="dxa"/>
            <w:tcBorders>
              <w:top w:val="single" w:color="auto" w:sz="4" w:space="0"/>
              <w:left w:val="single" w:color="auto" w:sz="4" w:space="0"/>
              <w:bottom w:val="single" w:color="auto" w:sz="4" w:space="0"/>
              <w:right w:val="single" w:color="auto" w:sz="4" w:space="0"/>
            </w:tcBorders>
            <w:vAlign w:val="center"/>
          </w:tcPr>
          <w:p w14:paraId="50414B6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sz w:val="24"/>
                <w:u w:val="none"/>
              </w:rPr>
            </w:pPr>
            <w:r>
              <w:rPr>
                <w:rFonts w:hint="eastAsia" w:ascii="黑体" w:hAnsi="黑体" w:eastAsia="黑体" w:cs="黑体"/>
                <w:sz w:val="24"/>
                <w:u w:val="none"/>
                <w:lang w:eastAsia="zh-CN"/>
              </w:rPr>
              <w:t>最高</w:t>
            </w:r>
            <w:r>
              <w:rPr>
                <w:rFonts w:hint="eastAsia" w:ascii="黑体" w:hAnsi="黑体" w:eastAsia="黑体" w:cs="黑体"/>
                <w:sz w:val="24"/>
                <w:u w:val="none"/>
              </w:rPr>
              <w:t>申请资助经费</w:t>
            </w:r>
          </w:p>
          <w:p w14:paraId="5D01539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sz w:val="24"/>
                <w:u w:val="none"/>
              </w:rPr>
            </w:pPr>
            <w:r>
              <w:rPr>
                <w:rFonts w:hint="eastAsia" w:ascii="黑体" w:hAnsi="黑体" w:eastAsia="黑体" w:cs="黑体"/>
                <w:sz w:val="24"/>
                <w:u w:val="none"/>
              </w:rPr>
              <w:t>（万元）</w:t>
            </w:r>
          </w:p>
        </w:tc>
        <w:tc>
          <w:tcPr>
            <w:tcW w:w="1556" w:type="dxa"/>
            <w:tcBorders>
              <w:top w:val="single" w:color="auto" w:sz="4" w:space="0"/>
              <w:left w:val="single" w:color="auto" w:sz="4" w:space="0"/>
              <w:bottom w:val="single" w:color="auto" w:sz="4" w:space="0"/>
              <w:right w:val="single" w:color="auto" w:sz="4" w:space="0"/>
            </w:tcBorders>
            <w:vAlign w:val="center"/>
          </w:tcPr>
          <w:p w14:paraId="03615CD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sz w:val="24"/>
                <w:u w:val="none"/>
              </w:rPr>
            </w:pPr>
            <w:r>
              <w:rPr>
                <w:rFonts w:hint="eastAsia" w:ascii="仿宋_GB2312" w:hAnsi="仿宋_GB2312" w:eastAsia="仿宋_GB2312" w:cs="仿宋_GB2312"/>
                <w:b/>
                <w:sz w:val="24"/>
                <w:u w:val="none"/>
              </w:rPr>
              <w:t>要求</w:t>
            </w:r>
          </w:p>
        </w:tc>
      </w:tr>
      <w:tr w14:paraId="6397E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9" w:hRule="atLeast"/>
        </w:trPr>
        <w:tc>
          <w:tcPr>
            <w:tcW w:w="1370" w:type="dxa"/>
            <w:tcBorders>
              <w:top w:val="single" w:color="auto" w:sz="4" w:space="0"/>
              <w:left w:val="single" w:color="auto" w:sz="4" w:space="0"/>
              <w:bottom w:val="single" w:color="auto" w:sz="4" w:space="0"/>
              <w:right w:val="single" w:color="auto" w:sz="4" w:space="0"/>
            </w:tcBorders>
            <w:vAlign w:val="center"/>
          </w:tcPr>
          <w:p w14:paraId="0396E70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Cs/>
                <w:kern w:val="0"/>
                <w:sz w:val="24"/>
                <w:u w:val="none"/>
              </w:rPr>
            </w:pPr>
            <w:r>
              <w:rPr>
                <w:rFonts w:hint="eastAsia" w:ascii="仿宋_GB2312" w:hAnsi="仿宋_GB2312" w:eastAsia="仿宋_GB2312" w:cs="仿宋_GB2312"/>
                <w:bCs/>
                <w:kern w:val="0"/>
                <w:sz w:val="24"/>
                <w:u w:val="none"/>
              </w:rPr>
              <w:t>智能制造与机器人</w:t>
            </w:r>
          </w:p>
        </w:tc>
        <w:tc>
          <w:tcPr>
            <w:tcW w:w="1314" w:type="dxa"/>
            <w:tcBorders>
              <w:top w:val="single" w:color="auto" w:sz="4" w:space="0"/>
              <w:left w:val="single" w:color="auto" w:sz="4" w:space="0"/>
              <w:bottom w:val="single" w:color="auto" w:sz="4" w:space="0"/>
              <w:right w:val="single" w:color="auto" w:sz="4" w:space="0"/>
            </w:tcBorders>
            <w:vAlign w:val="center"/>
          </w:tcPr>
          <w:p w14:paraId="040665B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24"/>
                <w:u w:val="none"/>
              </w:rPr>
            </w:pPr>
            <w:r>
              <w:rPr>
                <w:rFonts w:hint="eastAsia" w:ascii="仿宋_GB2312" w:hAnsi="仿宋_GB2312" w:eastAsia="仿宋_GB2312" w:cs="仿宋_GB2312"/>
                <w:sz w:val="24"/>
                <w:u w:val="none"/>
              </w:rPr>
              <w:t>面向人形机器人的高光谱仿生眼关键技术研发及产业化</w:t>
            </w:r>
          </w:p>
        </w:tc>
        <w:tc>
          <w:tcPr>
            <w:tcW w:w="3742" w:type="dxa"/>
            <w:tcBorders>
              <w:top w:val="single" w:color="auto" w:sz="4" w:space="0"/>
              <w:left w:val="single" w:color="auto" w:sz="4" w:space="0"/>
              <w:bottom w:val="single" w:color="auto" w:sz="4" w:space="0"/>
              <w:right w:val="single" w:color="auto" w:sz="4" w:space="0"/>
            </w:tcBorders>
            <w:vAlign w:val="center"/>
          </w:tcPr>
          <w:p w14:paraId="68AE83C6">
            <w:pPr>
              <w:keepNext w:val="0"/>
              <w:keepLines w:val="0"/>
              <w:pageBreakBefore w:val="0"/>
              <w:widowControl w:val="0"/>
              <w:kinsoku/>
              <w:wordWrap/>
              <w:overflowPunct/>
              <w:topLinePunct w:val="0"/>
              <w:autoSpaceDE/>
              <w:autoSpaceDN/>
              <w:bidi w:val="0"/>
              <w:adjustRightInd/>
              <w:snapToGrid/>
              <w:spacing w:line="400" w:lineRule="exact"/>
              <w:ind w:firstLine="514" w:firstLineChars="200"/>
              <w:textAlignment w:val="auto"/>
              <w:rPr>
                <w:rFonts w:hint="eastAsia" w:ascii="仿宋_GB2312" w:hAnsi="仿宋_GB2312" w:eastAsia="仿宋_GB2312" w:cs="仿宋_GB2312"/>
                <w:b/>
                <w:bCs/>
                <w:sz w:val="24"/>
                <w:szCs w:val="24"/>
                <w:u w:val="none"/>
              </w:rPr>
            </w:pPr>
            <w:r>
              <w:rPr>
                <w:rFonts w:hint="eastAsia" w:ascii="仿宋_GB2312" w:hAnsi="仿宋_GB2312" w:eastAsia="仿宋_GB2312" w:cs="仿宋_GB2312"/>
                <w:b/>
                <w:bCs/>
                <w:sz w:val="24"/>
                <w:szCs w:val="24"/>
                <w:u w:val="none"/>
                <w:lang w:eastAsia="zh-CN"/>
              </w:rPr>
              <w:t>一、</w:t>
            </w:r>
            <w:r>
              <w:rPr>
                <w:rFonts w:hint="eastAsia" w:ascii="仿宋_GB2312" w:hAnsi="仿宋_GB2312" w:eastAsia="仿宋_GB2312" w:cs="仿宋_GB2312"/>
                <w:b/>
                <w:bCs/>
                <w:sz w:val="24"/>
                <w:szCs w:val="24"/>
                <w:u w:val="none"/>
              </w:rPr>
              <w:t>技术难题和主要研发内容</w:t>
            </w:r>
          </w:p>
          <w:p w14:paraId="10F9B188">
            <w:pPr>
              <w:keepNext w:val="0"/>
              <w:keepLines w:val="0"/>
              <w:pageBreakBefore w:val="0"/>
              <w:widowControl w:val="0"/>
              <w:kinsoku/>
              <w:wordWrap/>
              <w:overflowPunct/>
              <w:topLinePunct w:val="0"/>
              <w:autoSpaceDE/>
              <w:autoSpaceDN/>
              <w:bidi w:val="0"/>
              <w:adjustRightInd/>
              <w:snapToGrid/>
              <w:spacing w:line="400" w:lineRule="exact"/>
              <w:ind w:firstLine="514" w:firstLineChars="200"/>
              <w:textAlignment w:val="auto"/>
              <w:rPr>
                <w:rFonts w:hint="eastAsia" w:ascii="仿宋_GB2312" w:hAnsi="仿宋_GB2312" w:eastAsia="仿宋_GB2312" w:cs="仿宋_GB2312"/>
                <w:sz w:val="24"/>
                <w:u w:val="none"/>
              </w:rPr>
            </w:pPr>
            <w:r>
              <w:rPr>
                <w:rFonts w:hint="eastAsia" w:ascii="仿宋_GB2312" w:hAnsi="仿宋_GB2312" w:eastAsia="仿宋_GB2312" w:cs="仿宋_GB2312"/>
                <w:sz w:val="24"/>
                <w:u w:val="none"/>
              </w:rPr>
              <w:t>该项目面向人形机器人高光谱仿生眼关键技术研发及产业化，针对现有高光谱设备体积大、功耗高、成像慢，微型低功耗视频模组缺乏国产方案，超表面编码与液体透镜调焦耦合易漂移，边缘实时处理及光谱材质融入三维语义地图困难等难题，重点研发超表面光谱编码、液体调焦与仿生双目协同架构，复杂光照自适应与轻量化封装，视频级空-谱-时特征提取和三维语义建模，仿生视觉与整机跨层级接口及典型场景验证。</w:t>
            </w:r>
          </w:p>
          <w:p w14:paraId="3507D7A1">
            <w:pPr>
              <w:keepNext w:val="0"/>
              <w:keepLines w:val="0"/>
              <w:pageBreakBefore w:val="0"/>
              <w:widowControl w:val="0"/>
              <w:kinsoku/>
              <w:wordWrap/>
              <w:overflowPunct/>
              <w:topLinePunct w:val="0"/>
              <w:autoSpaceDE/>
              <w:autoSpaceDN/>
              <w:bidi w:val="0"/>
              <w:adjustRightInd/>
              <w:snapToGrid/>
              <w:spacing w:line="400" w:lineRule="exact"/>
              <w:ind w:firstLine="514" w:firstLineChars="200"/>
              <w:textAlignment w:val="auto"/>
              <w:rPr>
                <w:rFonts w:hint="eastAsia" w:ascii="仿宋_GB2312" w:hAnsi="仿宋_GB2312" w:eastAsia="仿宋_GB2312" w:cs="仿宋_GB2312"/>
                <w:b/>
                <w:bCs/>
                <w:sz w:val="24"/>
                <w:szCs w:val="24"/>
                <w:u w:val="none"/>
                <w:lang w:eastAsia="zh-CN"/>
              </w:rPr>
            </w:pPr>
            <w:r>
              <w:rPr>
                <w:rFonts w:hint="eastAsia" w:ascii="仿宋_GB2312" w:hAnsi="仿宋_GB2312" w:eastAsia="仿宋_GB2312" w:cs="仿宋_GB2312"/>
                <w:b/>
                <w:bCs/>
                <w:sz w:val="24"/>
                <w:szCs w:val="24"/>
                <w:u w:val="none"/>
                <w:lang w:eastAsia="zh-CN"/>
              </w:rPr>
              <w:t>二、预期技术目标</w:t>
            </w:r>
          </w:p>
          <w:p w14:paraId="4F8D338B">
            <w:pPr>
              <w:keepNext w:val="0"/>
              <w:keepLines w:val="0"/>
              <w:pageBreakBefore w:val="0"/>
              <w:widowControl w:val="0"/>
              <w:kinsoku/>
              <w:wordWrap/>
              <w:overflowPunct/>
              <w:topLinePunct w:val="0"/>
              <w:autoSpaceDE/>
              <w:autoSpaceDN/>
              <w:bidi w:val="0"/>
              <w:adjustRightInd/>
              <w:snapToGrid/>
              <w:spacing w:line="400" w:lineRule="exact"/>
              <w:ind w:firstLine="514" w:firstLineChars="200"/>
              <w:textAlignment w:val="auto"/>
              <w:rPr>
                <w:rFonts w:hint="eastAsia" w:ascii="仿宋_GB2312" w:hAnsi="仿宋_GB2312" w:eastAsia="仿宋_GB2312" w:cs="仿宋_GB2312"/>
                <w:sz w:val="24"/>
                <w:u w:val="none"/>
                <w:lang w:eastAsia="zh-CN"/>
              </w:rPr>
            </w:pPr>
            <w:r>
              <w:rPr>
                <w:rFonts w:hint="eastAsia" w:ascii="仿宋_GB2312" w:hAnsi="仿宋_GB2312" w:eastAsia="仿宋_GB2312" w:cs="仿宋_GB2312"/>
                <w:sz w:val="24"/>
                <w:u w:val="none"/>
              </w:rPr>
              <w:t>研制自主知识产权的核心器件、轻量化模组与具身智能感知系统。光谱范围400—1000nm，光谱分辨率优于10nm，直接通道16个、重构通道优于60个，空间分辨率1024×1024、帧率25fps；单个光谱眼相机重量≤500g、功耗≤5W；材质识别准确率≥92%、种类≥10种，工业物料分拣任务成功率≥95% ，机器人自主导航高反障碍物避障成功率≥98%。建立不少于4万对</w:t>
            </w:r>
            <w:r>
              <w:rPr>
                <w:rFonts w:hint="eastAsia" w:ascii="仿宋_GB2312" w:hAnsi="仿宋_GB2312" w:eastAsia="仿宋_GB2312" w:cs="仿宋_GB2312"/>
                <w:sz w:val="24"/>
                <w:u w:val="none"/>
                <w:lang w:eastAsia="zh-CN"/>
              </w:rPr>
              <w:t>仿真</w:t>
            </w:r>
            <w:r>
              <w:rPr>
                <w:rFonts w:hint="eastAsia" w:ascii="仿宋_GB2312" w:hAnsi="仿宋_GB2312" w:eastAsia="仿宋_GB2312" w:cs="仿宋_GB2312"/>
                <w:sz w:val="24"/>
                <w:u w:val="none"/>
              </w:rPr>
              <w:t>数据的多拓扑结构物理特性</w:t>
            </w:r>
            <w:r>
              <w:rPr>
                <w:rFonts w:hint="eastAsia" w:ascii="仿宋_GB2312" w:hAnsi="仿宋_GB2312" w:eastAsia="仿宋_GB2312" w:cs="仿宋_GB2312"/>
                <w:sz w:val="24"/>
                <w:u w:val="none"/>
                <w:lang w:eastAsia="zh-CN"/>
              </w:rPr>
              <w:t>仿真</w:t>
            </w:r>
            <w:r>
              <w:rPr>
                <w:rFonts w:hint="eastAsia" w:ascii="仿宋_GB2312" w:hAnsi="仿宋_GB2312" w:eastAsia="仿宋_GB2312" w:cs="仿宋_GB2312"/>
                <w:sz w:val="24"/>
                <w:u w:val="none"/>
              </w:rPr>
              <w:t>数据库，最大深宽比：≤10:1</w:t>
            </w:r>
            <w:r>
              <w:rPr>
                <w:rFonts w:hint="eastAsia" w:ascii="仿宋_GB2312" w:hAnsi="仿宋_GB2312" w:eastAsia="仿宋_GB2312" w:cs="仿宋_GB2312"/>
                <w:sz w:val="24"/>
                <w:u w:val="none"/>
                <w:lang w:eastAsia="zh-CN"/>
              </w:rPr>
              <w:t>；</w:t>
            </w:r>
            <w:r>
              <w:rPr>
                <w:rFonts w:hint="eastAsia" w:ascii="仿宋_GB2312" w:hAnsi="仿宋_GB2312" w:eastAsia="仿宋_GB2312" w:cs="仿宋_GB2312"/>
                <w:sz w:val="24"/>
                <w:u w:val="none"/>
              </w:rPr>
              <w:t>拓扑类型数量：≥3类</w:t>
            </w:r>
            <w:r>
              <w:rPr>
                <w:rFonts w:hint="eastAsia" w:ascii="仿宋_GB2312" w:hAnsi="仿宋_GB2312" w:eastAsia="仿宋_GB2312" w:cs="仿宋_GB2312"/>
                <w:sz w:val="24"/>
                <w:u w:val="none"/>
                <w:lang w:eastAsia="zh-CN"/>
              </w:rPr>
              <w:t>；</w:t>
            </w:r>
            <w:r>
              <w:rPr>
                <w:rFonts w:hint="eastAsia" w:ascii="仿宋_GB2312" w:hAnsi="仿宋_GB2312" w:eastAsia="仿宋_GB2312" w:cs="仿宋_GB2312"/>
                <w:sz w:val="24"/>
                <w:u w:val="none"/>
              </w:rPr>
              <w:t>独立几何自由度：≥6维</w:t>
            </w:r>
            <w:r>
              <w:rPr>
                <w:rFonts w:hint="eastAsia" w:ascii="仿宋_GB2312" w:hAnsi="仿宋_GB2312" w:eastAsia="仿宋_GB2312" w:cs="仿宋_GB2312"/>
                <w:sz w:val="24"/>
                <w:u w:val="none"/>
                <w:lang w:eastAsia="zh-CN"/>
              </w:rPr>
              <w:t>；</w:t>
            </w:r>
            <w:r>
              <w:rPr>
                <w:rFonts w:hint="eastAsia" w:ascii="仿宋_GB2312" w:hAnsi="仿宋_GB2312" w:eastAsia="仿宋_GB2312" w:cs="仿宋_GB2312"/>
                <w:sz w:val="24"/>
                <w:u w:val="none"/>
              </w:rPr>
              <w:t>光谱编码相关系数≤0.5</w:t>
            </w:r>
            <w:r>
              <w:rPr>
                <w:rFonts w:hint="eastAsia" w:ascii="仿宋_GB2312" w:hAnsi="仿宋_GB2312" w:eastAsia="仿宋_GB2312" w:cs="仿宋_GB2312"/>
                <w:sz w:val="24"/>
                <w:u w:val="none"/>
                <w:lang w:eastAsia="zh-CN"/>
              </w:rPr>
              <w:t>。</w:t>
            </w:r>
          </w:p>
          <w:p w14:paraId="75E3B66B">
            <w:pPr>
              <w:keepNext w:val="0"/>
              <w:keepLines w:val="0"/>
              <w:pageBreakBefore w:val="0"/>
              <w:widowControl w:val="0"/>
              <w:kinsoku/>
              <w:wordWrap/>
              <w:overflowPunct/>
              <w:topLinePunct w:val="0"/>
              <w:autoSpaceDE/>
              <w:autoSpaceDN/>
              <w:bidi w:val="0"/>
              <w:adjustRightInd/>
              <w:snapToGrid/>
              <w:spacing w:line="400" w:lineRule="exact"/>
              <w:ind w:firstLine="514" w:firstLineChars="200"/>
              <w:textAlignment w:val="auto"/>
              <w:rPr>
                <w:rFonts w:hint="eastAsia" w:ascii="仿宋_GB2312" w:hAnsi="仿宋_GB2312" w:eastAsia="仿宋_GB2312" w:cs="仿宋_GB2312"/>
                <w:b/>
                <w:bCs/>
                <w:sz w:val="24"/>
                <w:szCs w:val="24"/>
                <w:u w:val="none"/>
                <w:lang w:eastAsia="zh-CN"/>
              </w:rPr>
            </w:pPr>
            <w:r>
              <w:rPr>
                <w:rFonts w:hint="eastAsia" w:ascii="仿宋_GB2312" w:hAnsi="仿宋_GB2312" w:eastAsia="仿宋_GB2312" w:cs="仿宋_GB2312"/>
                <w:b/>
                <w:bCs/>
                <w:sz w:val="24"/>
                <w:szCs w:val="24"/>
                <w:u w:val="none"/>
                <w:lang w:eastAsia="zh-CN"/>
              </w:rPr>
              <w:t>三、成果指标</w:t>
            </w:r>
          </w:p>
          <w:p w14:paraId="00B26406">
            <w:pPr>
              <w:keepNext w:val="0"/>
              <w:keepLines w:val="0"/>
              <w:pageBreakBefore w:val="0"/>
              <w:widowControl w:val="0"/>
              <w:kinsoku/>
              <w:wordWrap/>
              <w:overflowPunct/>
              <w:topLinePunct w:val="0"/>
              <w:autoSpaceDE/>
              <w:autoSpaceDN/>
              <w:bidi w:val="0"/>
              <w:adjustRightInd/>
              <w:snapToGrid/>
              <w:spacing w:line="400" w:lineRule="exact"/>
              <w:ind w:firstLine="514" w:firstLineChars="200"/>
              <w:textAlignment w:val="auto"/>
              <w:rPr>
                <w:rFonts w:hint="eastAsia" w:ascii="仿宋_GB2312" w:hAnsi="仿宋_GB2312" w:eastAsia="仿宋_GB2312" w:cs="仿宋_GB2312"/>
                <w:sz w:val="24"/>
                <w:u w:val="none"/>
                <w:lang w:eastAsia="zh-CN"/>
              </w:rPr>
            </w:pPr>
            <w:r>
              <w:rPr>
                <w:rFonts w:hint="eastAsia" w:ascii="仿宋_GB2312" w:hAnsi="仿宋_GB2312" w:eastAsia="仿宋_GB2312" w:cs="仿宋_GB2312"/>
                <w:sz w:val="24"/>
                <w:u w:val="none"/>
              </w:rPr>
              <w:t>申请发明专利5项、软件著作权1项，制定国家、行业</w:t>
            </w:r>
            <w:r>
              <w:rPr>
                <w:rFonts w:hint="eastAsia" w:ascii="仿宋_GB2312" w:hAnsi="仿宋_GB2312" w:eastAsia="仿宋_GB2312" w:cs="仿宋_GB2312"/>
                <w:sz w:val="24"/>
                <w:u w:val="none"/>
                <w:lang w:eastAsia="zh-CN"/>
              </w:rPr>
              <w:t>、企业或</w:t>
            </w:r>
            <w:r>
              <w:rPr>
                <w:rFonts w:hint="eastAsia" w:ascii="仿宋_GB2312" w:hAnsi="仿宋_GB2312" w:eastAsia="仿宋_GB2312" w:cs="仿宋_GB2312"/>
                <w:sz w:val="24"/>
                <w:u w:val="none"/>
              </w:rPr>
              <w:t>团体</w:t>
            </w:r>
            <w:r>
              <w:rPr>
                <w:rFonts w:hint="eastAsia" w:ascii="仿宋_GB2312" w:hAnsi="仿宋_GB2312" w:eastAsia="仿宋_GB2312" w:cs="仿宋_GB2312"/>
                <w:sz w:val="24"/>
                <w:u w:val="none"/>
                <w:lang w:eastAsia="zh-CN"/>
              </w:rPr>
              <w:t>等</w:t>
            </w:r>
            <w:r>
              <w:rPr>
                <w:rFonts w:hint="eastAsia" w:ascii="仿宋_GB2312" w:hAnsi="仿宋_GB2312" w:eastAsia="仿宋_GB2312" w:cs="仿宋_GB2312"/>
                <w:sz w:val="24"/>
                <w:u w:val="none"/>
              </w:rPr>
              <w:t>标准不少于1项，发表高水平论文10篇，培养博士5名、硕士10名。</w:t>
            </w:r>
          </w:p>
          <w:p w14:paraId="30BAA0B7">
            <w:pPr>
              <w:keepNext w:val="0"/>
              <w:keepLines w:val="0"/>
              <w:pageBreakBefore w:val="0"/>
              <w:widowControl w:val="0"/>
              <w:kinsoku/>
              <w:wordWrap/>
              <w:overflowPunct/>
              <w:topLinePunct w:val="0"/>
              <w:autoSpaceDE/>
              <w:autoSpaceDN/>
              <w:bidi w:val="0"/>
              <w:adjustRightInd/>
              <w:snapToGrid/>
              <w:spacing w:line="400" w:lineRule="exact"/>
              <w:ind w:firstLine="514" w:firstLineChars="200"/>
              <w:textAlignment w:val="auto"/>
              <w:rPr>
                <w:rFonts w:hint="eastAsia" w:ascii="仿宋_GB2312" w:hAnsi="仿宋_GB2312" w:eastAsia="仿宋_GB2312" w:cs="仿宋_GB2312"/>
                <w:b/>
                <w:bCs/>
                <w:sz w:val="24"/>
                <w:szCs w:val="24"/>
                <w:u w:val="none"/>
                <w:lang w:eastAsia="zh-CN"/>
              </w:rPr>
            </w:pPr>
            <w:r>
              <w:rPr>
                <w:rFonts w:hint="eastAsia" w:ascii="仿宋_GB2312" w:hAnsi="仿宋_GB2312" w:eastAsia="仿宋_GB2312" w:cs="仿宋_GB2312"/>
                <w:b/>
                <w:bCs/>
                <w:sz w:val="24"/>
                <w:szCs w:val="24"/>
                <w:u w:val="none"/>
                <w:lang w:eastAsia="zh-CN"/>
              </w:rPr>
              <w:t>四、经济社会效益指标</w:t>
            </w:r>
          </w:p>
          <w:p w14:paraId="20AD3F33">
            <w:r>
              <w:rPr>
                <w:rFonts w:hint="eastAsia" w:ascii="仿宋_GB2312" w:hAnsi="仿宋_GB2312" w:eastAsia="仿宋_GB2312" w:cs="仿宋_GB2312"/>
                <w:sz w:val="24"/>
                <w:u w:val="none"/>
              </w:rPr>
              <w:t>项目</w:t>
            </w:r>
            <w:r>
              <w:rPr>
                <w:rFonts w:hint="eastAsia" w:ascii="仿宋_GB2312" w:hAnsi="仿宋_GB2312" w:eastAsia="仿宋_GB2312" w:cs="仿宋_GB2312"/>
                <w:sz w:val="24"/>
                <w:u w:val="none"/>
                <w:lang w:eastAsia="zh-CN"/>
              </w:rPr>
              <w:t>将在</w:t>
            </w:r>
            <w:r>
              <w:rPr>
                <w:rFonts w:hint="eastAsia" w:ascii="仿宋_GB2312" w:hAnsi="仿宋_GB2312" w:eastAsia="仿宋_GB2312" w:cs="仿宋_GB2312"/>
                <w:sz w:val="24"/>
                <w:u w:val="none"/>
              </w:rPr>
              <w:t>工业</w:t>
            </w:r>
            <w:r>
              <w:rPr>
                <w:rFonts w:hint="eastAsia" w:ascii="仿宋_GB2312" w:hAnsi="仿宋_GB2312" w:eastAsia="仿宋_GB2312" w:cs="仿宋_GB2312"/>
                <w:sz w:val="24"/>
                <w:u w:val="none"/>
                <w:lang w:eastAsia="zh-CN"/>
              </w:rPr>
              <w:t>、</w:t>
            </w:r>
            <w:r>
              <w:rPr>
                <w:rFonts w:hint="eastAsia" w:ascii="仿宋_GB2312" w:hAnsi="仿宋_GB2312" w:eastAsia="仿宋_GB2312" w:cs="仿宋_GB2312"/>
                <w:sz w:val="24"/>
                <w:u w:val="none"/>
              </w:rPr>
              <w:t>商用</w:t>
            </w:r>
            <w:r>
              <w:rPr>
                <w:rFonts w:hint="eastAsia" w:ascii="仿宋_GB2312" w:hAnsi="仿宋_GB2312" w:eastAsia="仿宋_GB2312" w:cs="仿宋_GB2312"/>
                <w:sz w:val="24"/>
                <w:u w:val="none"/>
                <w:lang w:eastAsia="zh-CN"/>
              </w:rPr>
              <w:t>、</w:t>
            </w:r>
            <w:r>
              <w:rPr>
                <w:rFonts w:hint="eastAsia" w:ascii="仿宋_GB2312" w:hAnsi="仿宋_GB2312" w:eastAsia="仿宋_GB2312" w:cs="仿宋_GB2312"/>
                <w:sz w:val="24"/>
                <w:u w:val="none"/>
              </w:rPr>
              <w:t>家庭</w:t>
            </w:r>
            <w:r>
              <w:rPr>
                <w:rFonts w:hint="eastAsia" w:ascii="仿宋_GB2312" w:hAnsi="仿宋_GB2312" w:eastAsia="仿宋_GB2312" w:cs="仿宋_GB2312"/>
                <w:sz w:val="24"/>
                <w:u w:val="none"/>
                <w:lang w:eastAsia="zh-CN"/>
              </w:rPr>
              <w:t>等</w:t>
            </w:r>
            <w:r>
              <w:rPr>
                <w:rFonts w:hint="eastAsia" w:ascii="仿宋_GB2312" w:hAnsi="仿宋_GB2312" w:eastAsia="仿宋_GB2312" w:cs="仿宋_GB2312"/>
                <w:sz w:val="24"/>
                <w:u w:val="none"/>
                <w:lang w:val="en-US" w:eastAsia="zh-CN"/>
              </w:rPr>
              <w:t>3个</w:t>
            </w:r>
            <w:r>
              <w:rPr>
                <w:rFonts w:hint="eastAsia" w:ascii="仿宋_GB2312" w:hAnsi="仿宋_GB2312" w:eastAsia="仿宋_GB2312" w:cs="仿宋_GB2312"/>
                <w:sz w:val="24"/>
                <w:u w:val="none"/>
              </w:rPr>
              <w:t>典型任务场景</w:t>
            </w:r>
            <w:r>
              <w:rPr>
                <w:rFonts w:hint="eastAsia" w:ascii="仿宋_GB2312" w:hAnsi="仿宋_GB2312" w:eastAsia="仿宋_GB2312" w:cs="仿宋_GB2312"/>
                <w:sz w:val="24"/>
                <w:u w:val="none"/>
                <w:lang w:eastAsia="zh-CN"/>
              </w:rPr>
              <w:t>应用，</w:t>
            </w:r>
            <w:r>
              <w:rPr>
                <w:rFonts w:hint="eastAsia" w:ascii="仿宋_GB2312" w:hAnsi="仿宋_GB2312" w:eastAsia="仿宋_GB2312" w:cs="仿宋_GB2312"/>
                <w:sz w:val="24"/>
                <w:u w:val="none"/>
              </w:rPr>
              <w:t>填补国内高端光谱视觉装备空白，推动自主可控和国产替代，实施期预计销售收入2000万元，并形成专利、软著、标准、论文及人才培养成果。</w:t>
            </w:r>
          </w:p>
          <w:p w14:paraId="4E69FBAA"/>
          <w:p w14:paraId="418ADC90"/>
          <w:p w14:paraId="5D077B31">
            <w:pPr>
              <w:keepNext w:val="0"/>
              <w:keepLines w:val="0"/>
              <w:pageBreakBefore w:val="0"/>
              <w:widowControl w:val="0"/>
              <w:kinsoku/>
              <w:wordWrap/>
              <w:overflowPunct/>
              <w:topLinePunct w:val="0"/>
              <w:autoSpaceDE/>
              <w:autoSpaceDN/>
              <w:bidi w:val="0"/>
              <w:adjustRightInd/>
              <w:snapToGrid/>
              <w:spacing w:line="400" w:lineRule="exact"/>
              <w:ind w:firstLine="514" w:firstLineChars="200"/>
              <w:jc w:val="left"/>
              <w:textAlignment w:val="auto"/>
              <w:rPr>
                <w:rFonts w:hint="eastAsia" w:ascii="仿宋_GB2312" w:hAnsi="仿宋_GB2312" w:eastAsia="仿宋_GB2312" w:cs="仿宋_GB2312"/>
                <w:sz w:val="24"/>
                <w:u w:val="none"/>
              </w:rPr>
            </w:pPr>
          </w:p>
        </w:tc>
        <w:tc>
          <w:tcPr>
            <w:tcW w:w="1447" w:type="dxa"/>
            <w:tcBorders>
              <w:top w:val="single" w:color="auto" w:sz="4" w:space="0"/>
              <w:left w:val="single" w:color="auto" w:sz="4" w:space="0"/>
              <w:bottom w:val="single" w:color="auto" w:sz="4" w:space="0"/>
              <w:right w:val="single" w:color="auto" w:sz="4" w:space="0"/>
            </w:tcBorders>
            <w:vAlign w:val="center"/>
          </w:tcPr>
          <w:p w14:paraId="144556E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24"/>
                <w:u w:val="none"/>
                <w:lang w:eastAsia="zh-CN"/>
              </w:rPr>
            </w:pPr>
            <w:r>
              <w:rPr>
                <w:rFonts w:hint="eastAsia" w:ascii="仿宋_GB2312" w:hAnsi="仿宋_GB2312" w:eastAsia="仿宋_GB2312" w:cs="仿宋_GB2312"/>
                <w:sz w:val="24"/>
                <w:u w:val="none"/>
              </w:rPr>
              <w:t>300万元</w:t>
            </w:r>
          </w:p>
        </w:tc>
        <w:tc>
          <w:tcPr>
            <w:tcW w:w="1556" w:type="dxa"/>
            <w:tcBorders>
              <w:top w:val="single" w:color="auto" w:sz="4" w:space="0"/>
              <w:left w:val="single" w:color="auto" w:sz="4" w:space="0"/>
              <w:bottom w:val="single" w:color="auto" w:sz="4" w:space="0"/>
              <w:right w:val="single" w:color="auto" w:sz="4" w:space="0"/>
            </w:tcBorders>
            <w:vAlign w:val="center"/>
          </w:tcPr>
          <w:p w14:paraId="078E086A">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24"/>
                <w:u w:val="none"/>
              </w:rPr>
            </w:pPr>
            <w:r>
              <w:rPr>
                <w:rFonts w:hint="eastAsia" w:ascii="仿宋_GB2312" w:hAnsi="仿宋_GB2312" w:eastAsia="仿宋_GB2312" w:cs="仿宋_GB2312"/>
                <w:bCs/>
                <w:kern w:val="0"/>
                <w:sz w:val="24"/>
                <w:u w:val="none"/>
              </w:rPr>
              <w:t>申报单位须对本专题的整体研发内容和目标进行申报</w:t>
            </w:r>
          </w:p>
        </w:tc>
      </w:tr>
    </w:tbl>
    <w:p w14:paraId="545E0AD4">
      <w:pPr>
        <w:jc w:val="both"/>
        <w:rPr>
          <w:rFonts w:hint="eastAsia" w:ascii="黑体" w:hAnsi="黑体" w:eastAsia="黑体" w:cs="黑体"/>
          <w:sz w:val="32"/>
          <w:szCs w:val="32"/>
          <w:u w:val="none"/>
        </w:rPr>
      </w:pPr>
    </w:p>
    <w:p w14:paraId="01116C62">
      <w:pPr>
        <w:pStyle w:val="8"/>
        <w:rPr>
          <w:rFonts w:hint="eastAsia" w:ascii="黑体" w:hAnsi="黑体" w:eastAsia="黑体" w:cs="黑体"/>
          <w:sz w:val="32"/>
          <w:szCs w:val="32"/>
          <w:u w:val="none"/>
        </w:rPr>
      </w:pPr>
    </w:p>
    <w:p w14:paraId="4C130DC2">
      <w:pPr>
        <w:jc w:val="center"/>
        <w:rPr>
          <w:rFonts w:hint="default" w:ascii="黑体" w:hAnsi="黑体" w:eastAsia="黑体" w:cs="黑体"/>
          <w:sz w:val="32"/>
          <w:szCs w:val="32"/>
          <w:u w:val="none"/>
          <w:lang w:val="en-US" w:eastAsia="zh-CN"/>
        </w:rPr>
      </w:pPr>
      <w:r>
        <w:rPr>
          <w:rFonts w:hint="eastAsia" w:ascii="黑体" w:hAnsi="黑体" w:eastAsia="黑体" w:cs="黑体"/>
          <w:sz w:val="32"/>
          <w:szCs w:val="32"/>
          <w:u w:val="none"/>
        </w:rPr>
        <w:t>科技重大专项申报选题表（</w:t>
      </w:r>
      <w:r>
        <w:rPr>
          <w:rFonts w:hint="eastAsia" w:ascii="黑体" w:hAnsi="黑体" w:eastAsia="黑体" w:cs="黑体"/>
          <w:sz w:val="32"/>
          <w:szCs w:val="32"/>
          <w:u w:val="none"/>
          <w:lang w:eastAsia="zh-CN"/>
        </w:rPr>
        <w:t>四</w:t>
      </w:r>
      <w:r>
        <w:rPr>
          <w:rFonts w:hint="eastAsia" w:ascii="黑体" w:hAnsi="黑体" w:eastAsia="黑体" w:cs="黑体"/>
          <w:sz w:val="32"/>
          <w:szCs w:val="32"/>
          <w:u w:val="none"/>
        </w:rPr>
        <w:t>）指南代码</w:t>
      </w:r>
      <w:r>
        <w:rPr>
          <w:rFonts w:ascii="黑体" w:hAnsi="黑体" w:eastAsia="黑体" w:cs="黑体"/>
          <w:sz w:val="32"/>
          <w:szCs w:val="32"/>
          <w:u w:val="none"/>
        </w:rPr>
        <w:t>202</w:t>
      </w:r>
      <w:r>
        <w:rPr>
          <w:rFonts w:hint="eastAsia" w:ascii="黑体" w:hAnsi="黑体" w:eastAsia="黑体" w:cs="黑体"/>
          <w:sz w:val="32"/>
          <w:szCs w:val="32"/>
          <w:u w:val="none"/>
          <w:lang w:val="en-US" w:eastAsia="zh-CN"/>
        </w:rPr>
        <w:t>6HZ0104</w:t>
      </w:r>
    </w:p>
    <w:tbl>
      <w:tblPr>
        <w:tblStyle w:val="12"/>
        <w:tblW w:w="9429" w:type="dxa"/>
        <w:tblInd w:w="-1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70"/>
        <w:gridCol w:w="1314"/>
        <w:gridCol w:w="3742"/>
        <w:gridCol w:w="1447"/>
        <w:gridCol w:w="1556"/>
      </w:tblGrid>
      <w:tr w14:paraId="3BC06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9" w:hRule="atLeast"/>
        </w:trPr>
        <w:tc>
          <w:tcPr>
            <w:tcW w:w="1370" w:type="dxa"/>
            <w:tcBorders>
              <w:top w:val="single" w:color="auto" w:sz="4" w:space="0"/>
              <w:left w:val="single" w:color="auto" w:sz="4" w:space="0"/>
              <w:bottom w:val="single" w:color="auto" w:sz="4" w:space="0"/>
              <w:right w:val="single" w:color="auto" w:sz="4" w:space="0"/>
            </w:tcBorders>
            <w:vAlign w:val="center"/>
          </w:tcPr>
          <w:p w14:paraId="4F5B626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bCs/>
                <w:kern w:val="0"/>
                <w:sz w:val="24"/>
                <w:u w:val="none"/>
              </w:rPr>
            </w:pPr>
            <w:r>
              <w:rPr>
                <w:rFonts w:hint="eastAsia" w:ascii="黑体" w:hAnsi="黑体" w:eastAsia="黑体" w:cs="黑体"/>
                <w:bCs/>
                <w:kern w:val="0"/>
                <w:sz w:val="24"/>
                <w:u w:val="none"/>
              </w:rPr>
              <w:t>所属重大专项名称</w:t>
            </w:r>
          </w:p>
        </w:tc>
        <w:tc>
          <w:tcPr>
            <w:tcW w:w="1314" w:type="dxa"/>
            <w:tcBorders>
              <w:top w:val="single" w:color="auto" w:sz="4" w:space="0"/>
              <w:left w:val="single" w:color="auto" w:sz="4" w:space="0"/>
              <w:bottom w:val="single" w:color="auto" w:sz="4" w:space="0"/>
              <w:right w:val="single" w:color="auto" w:sz="4" w:space="0"/>
            </w:tcBorders>
            <w:vAlign w:val="center"/>
          </w:tcPr>
          <w:p w14:paraId="0923FD6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sz w:val="24"/>
                <w:u w:val="none"/>
              </w:rPr>
            </w:pPr>
            <w:r>
              <w:rPr>
                <w:rFonts w:hint="eastAsia" w:ascii="黑体" w:hAnsi="黑体" w:eastAsia="黑体" w:cs="黑体"/>
                <w:sz w:val="24"/>
                <w:u w:val="none"/>
              </w:rPr>
              <w:t>选题</w:t>
            </w:r>
          </w:p>
          <w:p w14:paraId="36106C4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sz w:val="24"/>
                <w:u w:val="none"/>
              </w:rPr>
            </w:pPr>
            <w:r>
              <w:rPr>
                <w:rFonts w:hint="eastAsia" w:ascii="黑体" w:hAnsi="黑体" w:eastAsia="黑体" w:cs="黑体"/>
                <w:sz w:val="24"/>
                <w:u w:val="none"/>
              </w:rPr>
              <w:t>方向</w:t>
            </w:r>
          </w:p>
        </w:tc>
        <w:tc>
          <w:tcPr>
            <w:tcW w:w="3742" w:type="dxa"/>
            <w:tcBorders>
              <w:top w:val="single" w:color="auto" w:sz="4" w:space="0"/>
              <w:left w:val="single" w:color="auto" w:sz="4" w:space="0"/>
              <w:bottom w:val="single" w:color="auto" w:sz="4" w:space="0"/>
              <w:right w:val="single" w:color="auto" w:sz="4" w:space="0"/>
            </w:tcBorders>
            <w:vAlign w:val="center"/>
          </w:tcPr>
          <w:p w14:paraId="055E9DC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sz w:val="24"/>
                <w:u w:val="none"/>
              </w:rPr>
            </w:pPr>
            <w:r>
              <w:rPr>
                <w:rFonts w:hint="eastAsia" w:ascii="黑体" w:hAnsi="黑体" w:eastAsia="黑体" w:cs="黑体"/>
                <w:sz w:val="24"/>
                <w:u w:val="none"/>
              </w:rPr>
              <w:t>选题方向重点内容</w:t>
            </w:r>
          </w:p>
        </w:tc>
        <w:tc>
          <w:tcPr>
            <w:tcW w:w="1447" w:type="dxa"/>
            <w:tcBorders>
              <w:top w:val="single" w:color="auto" w:sz="4" w:space="0"/>
              <w:left w:val="single" w:color="auto" w:sz="4" w:space="0"/>
              <w:bottom w:val="single" w:color="auto" w:sz="4" w:space="0"/>
              <w:right w:val="single" w:color="auto" w:sz="4" w:space="0"/>
            </w:tcBorders>
            <w:vAlign w:val="center"/>
          </w:tcPr>
          <w:p w14:paraId="1465A55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sz w:val="24"/>
                <w:u w:val="none"/>
              </w:rPr>
            </w:pPr>
            <w:r>
              <w:rPr>
                <w:rFonts w:hint="eastAsia" w:ascii="黑体" w:hAnsi="黑体" w:eastAsia="黑体" w:cs="黑体"/>
                <w:sz w:val="24"/>
                <w:u w:val="none"/>
                <w:lang w:eastAsia="zh-CN"/>
              </w:rPr>
              <w:t>最高</w:t>
            </w:r>
            <w:r>
              <w:rPr>
                <w:rFonts w:hint="eastAsia" w:ascii="黑体" w:hAnsi="黑体" w:eastAsia="黑体" w:cs="黑体"/>
                <w:sz w:val="24"/>
                <w:u w:val="none"/>
              </w:rPr>
              <w:t>申请资助经费</w:t>
            </w:r>
          </w:p>
          <w:p w14:paraId="31D5D27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sz w:val="24"/>
                <w:u w:val="none"/>
              </w:rPr>
            </w:pPr>
            <w:r>
              <w:rPr>
                <w:rFonts w:hint="eastAsia" w:ascii="黑体" w:hAnsi="黑体" w:eastAsia="黑体" w:cs="黑体"/>
                <w:sz w:val="24"/>
                <w:u w:val="none"/>
              </w:rPr>
              <w:t>（万元）</w:t>
            </w:r>
          </w:p>
        </w:tc>
        <w:tc>
          <w:tcPr>
            <w:tcW w:w="1556" w:type="dxa"/>
            <w:tcBorders>
              <w:top w:val="single" w:color="auto" w:sz="4" w:space="0"/>
              <w:left w:val="single" w:color="auto" w:sz="4" w:space="0"/>
              <w:bottom w:val="single" w:color="auto" w:sz="4" w:space="0"/>
              <w:right w:val="single" w:color="auto" w:sz="4" w:space="0"/>
            </w:tcBorders>
            <w:vAlign w:val="center"/>
          </w:tcPr>
          <w:p w14:paraId="3C868E1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sz w:val="24"/>
                <w:u w:val="none"/>
              </w:rPr>
            </w:pPr>
            <w:r>
              <w:rPr>
                <w:rFonts w:hint="eastAsia" w:ascii="仿宋_GB2312" w:hAnsi="仿宋_GB2312" w:eastAsia="仿宋_GB2312" w:cs="仿宋_GB2312"/>
                <w:b/>
                <w:sz w:val="24"/>
                <w:u w:val="none"/>
              </w:rPr>
              <w:t>要求</w:t>
            </w:r>
          </w:p>
        </w:tc>
      </w:tr>
      <w:tr w14:paraId="3463D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9" w:hRule="atLeast"/>
        </w:trPr>
        <w:tc>
          <w:tcPr>
            <w:tcW w:w="1370" w:type="dxa"/>
            <w:tcBorders>
              <w:top w:val="single" w:color="auto" w:sz="4" w:space="0"/>
              <w:left w:val="single" w:color="auto" w:sz="4" w:space="0"/>
              <w:bottom w:val="single" w:color="auto" w:sz="4" w:space="0"/>
              <w:right w:val="single" w:color="auto" w:sz="4" w:space="0"/>
            </w:tcBorders>
            <w:vAlign w:val="center"/>
          </w:tcPr>
          <w:p w14:paraId="652F586C">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Cs/>
                <w:kern w:val="0"/>
                <w:sz w:val="24"/>
                <w:u w:val="none"/>
                <w:lang w:eastAsia="zh-CN"/>
              </w:rPr>
            </w:pPr>
            <w:r>
              <w:rPr>
                <w:rFonts w:hint="eastAsia" w:ascii="仿宋_GB2312" w:hAnsi="仿宋_GB2312" w:eastAsia="仿宋_GB2312" w:cs="仿宋_GB2312"/>
                <w:sz w:val="24"/>
                <w:u w:val="none"/>
              </w:rPr>
              <w:t>高端装备</w:t>
            </w:r>
            <w:r>
              <w:rPr>
                <w:rFonts w:hint="eastAsia" w:ascii="仿宋_GB2312" w:hAnsi="仿宋_GB2312" w:cs="仿宋_GB2312"/>
                <w:sz w:val="24"/>
                <w:u w:val="none"/>
                <w:lang w:eastAsia="zh-CN"/>
              </w:rPr>
              <w:t>与仪器仪表</w:t>
            </w:r>
          </w:p>
        </w:tc>
        <w:tc>
          <w:tcPr>
            <w:tcW w:w="1314" w:type="dxa"/>
            <w:tcBorders>
              <w:top w:val="single" w:color="auto" w:sz="4" w:space="0"/>
              <w:left w:val="single" w:color="auto" w:sz="4" w:space="0"/>
              <w:bottom w:val="single" w:color="auto" w:sz="4" w:space="0"/>
              <w:right w:val="single" w:color="auto" w:sz="4" w:space="0"/>
            </w:tcBorders>
            <w:vAlign w:val="center"/>
          </w:tcPr>
          <w:p w14:paraId="4B57B423">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24"/>
                <w:u w:val="none"/>
              </w:rPr>
            </w:pPr>
            <w:r>
              <w:rPr>
                <w:rFonts w:hint="eastAsia" w:ascii="仿宋_GB2312" w:hAnsi="仿宋_GB2312" w:eastAsia="仿宋_GB2312" w:cs="仿宋_GB2312"/>
                <w:color w:val="auto"/>
                <w:kern w:val="0"/>
                <w:sz w:val="22"/>
                <w:szCs w:val="22"/>
                <w:u w:val="none"/>
              </w:rPr>
              <w:t>新能源车用柔性仿生传感PUR材料与专用设备关键技术研发</w:t>
            </w:r>
          </w:p>
        </w:tc>
        <w:tc>
          <w:tcPr>
            <w:tcW w:w="3742" w:type="dxa"/>
            <w:tcBorders>
              <w:top w:val="single" w:color="auto" w:sz="4" w:space="0"/>
              <w:left w:val="single" w:color="auto" w:sz="4" w:space="0"/>
              <w:bottom w:val="single" w:color="auto" w:sz="4" w:space="0"/>
              <w:right w:val="single" w:color="auto" w:sz="4" w:space="0"/>
            </w:tcBorders>
            <w:vAlign w:val="center"/>
          </w:tcPr>
          <w:p w14:paraId="37CBB1E4">
            <w:pPr>
              <w:keepNext w:val="0"/>
              <w:keepLines w:val="0"/>
              <w:pageBreakBefore w:val="0"/>
              <w:kinsoku/>
              <w:wordWrap/>
              <w:overflowPunct/>
              <w:topLinePunct w:val="0"/>
              <w:autoSpaceDE/>
              <w:autoSpaceDN/>
              <w:bidi w:val="0"/>
              <w:adjustRightInd/>
              <w:snapToGrid/>
              <w:spacing w:line="400" w:lineRule="exact"/>
              <w:ind w:firstLine="514" w:firstLineChars="200"/>
              <w:jc w:val="both"/>
              <w:textAlignment w:val="auto"/>
              <w:rPr>
                <w:rFonts w:hint="eastAsia" w:ascii="仿宋_GB2312" w:hAnsi="仿宋_GB2312" w:eastAsia="仿宋_GB2312" w:cs="仿宋_GB2312"/>
                <w:b/>
                <w:bCs/>
                <w:sz w:val="24"/>
                <w:u w:val="none"/>
              </w:rPr>
            </w:pPr>
            <w:r>
              <w:rPr>
                <w:rFonts w:hint="eastAsia" w:ascii="仿宋_GB2312" w:hAnsi="仿宋_GB2312" w:eastAsia="仿宋_GB2312" w:cs="仿宋_GB2312"/>
                <w:b/>
                <w:bCs/>
                <w:sz w:val="24"/>
                <w:szCs w:val="24"/>
                <w:u w:val="none"/>
                <w:lang w:eastAsia="zh-CN"/>
              </w:rPr>
              <w:t>一、</w:t>
            </w:r>
            <w:r>
              <w:rPr>
                <w:rFonts w:hint="eastAsia" w:ascii="仿宋_GB2312" w:hAnsi="仿宋_GB2312" w:eastAsia="仿宋_GB2312" w:cs="仿宋_GB2312"/>
                <w:b/>
                <w:bCs/>
                <w:sz w:val="24"/>
                <w:szCs w:val="24"/>
                <w:u w:val="none"/>
              </w:rPr>
              <w:t>技术难题和主要研发内容</w:t>
            </w:r>
          </w:p>
          <w:p w14:paraId="0D6C9E2E">
            <w:pPr>
              <w:keepNext w:val="0"/>
              <w:keepLines w:val="0"/>
              <w:pageBreakBefore w:val="0"/>
              <w:widowControl/>
              <w:suppressLineNumbers w:val="0"/>
              <w:kinsoku/>
              <w:wordWrap/>
              <w:overflowPunct/>
              <w:topLinePunct w:val="0"/>
              <w:autoSpaceDE/>
              <w:autoSpaceDN/>
              <w:bidi w:val="0"/>
              <w:adjustRightInd/>
              <w:snapToGrid/>
              <w:spacing w:line="400" w:lineRule="exact"/>
              <w:ind w:firstLine="514" w:firstLineChars="200"/>
              <w:jc w:val="both"/>
              <w:textAlignment w:val="auto"/>
              <w:rPr>
                <w:rFonts w:hint="eastAsia" w:ascii="仿宋_GB2312" w:hAnsi="仿宋_GB2312" w:eastAsia="仿宋_GB2312" w:cs="仿宋_GB2312"/>
                <w:sz w:val="24"/>
                <w:u w:val="none"/>
                <w:lang w:val="en-US" w:eastAsia="zh-CN"/>
              </w:rPr>
            </w:pPr>
            <w:r>
              <w:rPr>
                <w:rFonts w:hint="eastAsia" w:ascii="仿宋_GB2312" w:hAnsi="仿宋_GB2312" w:eastAsia="仿宋_GB2312" w:cs="仿宋_GB2312"/>
                <w:sz w:val="24"/>
                <w:u w:val="none"/>
                <w:lang w:val="en-US" w:eastAsia="zh-CN"/>
              </w:rPr>
              <w:t>本项目聚焦智能座舱柔性仿生传感PUR材料及专用装备受制于德日垄断、我国高端市场份额不足10%的“技术难题。</w:t>
            </w:r>
          </w:p>
          <w:p w14:paraId="5016AFE0">
            <w:pPr>
              <w:keepNext w:val="0"/>
              <w:keepLines w:val="0"/>
              <w:pageBreakBefore w:val="0"/>
              <w:widowControl/>
              <w:suppressLineNumbers w:val="0"/>
              <w:kinsoku/>
              <w:wordWrap/>
              <w:overflowPunct/>
              <w:topLinePunct w:val="0"/>
              <w:autoSpaceDE/>
              <w:autoSpaceDN/>
              <w:bidi w:val="0"/>
              <w:adjustRightInd/>
              <w:snapToGrid/>
              <w:spacing w:line="400" w:lineRule="exact"/>
              <w:ind w:firstLine="514" w:firstLineChars="200"/>
              <w:jc w:val="both"/>
              <w:textAlignment w:val="auto"/>
              <w:rPr>
                <w:rFonts w:hint="eastAsia" w:ascii="仿宋_GB2312" w:hAnsi="仿宋_GB2312" w:eastAsia="仿宋_GB2312" w:cs="仿宋_GB2312"/>
                <w:sz w:val="24"/>
                <w:u w:val="none"/>
                <w:lang w:val="en-US" w:eastAsia="zh-CN"/>
              </w:rPr>
            </w:pPr>
            <w:r>
              <w:rPr>
                <w:rFonts w:hint="eastAsia" w:ascii="仿宋_GB2312" w:hAnsi="仿宋_GB2312" w:eastAsia="仿宋_GB2312" w:cs="仿宋_GB2312"/>
                <w:b w:val="0"/>
                <w:bCs w:val="0"/>
                <w:sz w:val="24"/>
                <w:u w:val="none"/>
                <w:lang w:val="en-US" w:eastAsia="zh-CN"/>
              </w:rPr>
              <w:t>主要研发内容：</w:t>
            </w:r>
            <w:r>
              <w:rPr>
                <w:rFonts w:hint="eastAsia" w:ascii="仿宋_GB2312" w:hAnsi="仿宋_GB2312" w:eastAsia="仿宋_GB2312" w:cs="仿宋_GB2312"/>
                <w:sz w:val="24"/>
                <w:u w:val="none"/>
                <w:lang w:val="en-US" w:eastAsia="zh-CN"/>
              </w:rPr>
              <w:t>生物基耐候触感PUR材料、特种高镍合金智能电铸模具、曲面微反应智能喷涂装备、柔性仿生传感集成与绿色制造工艺，构建“材料—模具—装备—集成”全链条自主可控体系。</w:t>
            </w:r>
          </w:p>
          <w:p w14:paraId="0E8562AD">
            <w:pPr>
              <w:keepNext w:val="0"/>
              <w:keepLines w:val="0"/>
              <w:pageBreakBefore w:val="0"/>
              <w:kinsoku/>
              <w:wordWrap/>
              <w:overflowPunct/>
              <w:topLinePunct w:val="0"/>
              <w:autoSpaceDE/>
              <w:autoSpaceDN/>
              <w:bidi w:val="0"/>
              <w:adjustRightInd/>
              <w:snapToGrid/>
              <w:spacing w:line="400" w:lineRule="exact"/>
              <w:ind w:firstLine="514" w:firstLineChars="200"/>
              <w:jc w:val="both"/>
              <w:textAlignment w:val="auto"/>
              <w:rPr>
                <w:rFonts w:hint="eastAsia" w:ascii="仿宋_GB2312" w:hAnsi="仿宋_GB2312" w:eastAsia="仿宋_GB2312" w:cs="仿宋_GB2312"/>
                <w:b/>
                <w:bCs/>
                <w:sz w:val="24"/>
                <w:u w:val="none"/>
              </w:rPr>
            </w:pPr>
            <w:r>
              <w:rPr>
                <w:rFonts w:hint="eastAsia" w:ascii="仿宋_GB2312" w:hAnsi="仿宋_GB2312" w:eastAsia="仿宋_GB2312" w:cs="仿宋_GB2312"/>
                <w:b/>
                <w:bCs/>
                <w:sz w:val="24"/>
                <w:szCs w:val="24"/>
                <w:u w:val="none"/>
                <w:lang w:eastAsia="zh-CN"/>
              </w:rPr>
              <w:t>二、预期技术目标</w:t>
            </w:r>
          </w:p>
          <w:p w14:paraId="4D860B18">
            <w:pPr>
              <w:keepNext w:val="0"/>
              <w:keepLines w:val="0"/>
              <w:pageBreakBefore w:val="0"/>
              <w:widowControl/>
              <w:suppressLineNumbers w:val="0"/>
              <w:kinsoku/>
              <w:wordWrap/>
              <w:overflowPunct/>
              <w:topLinePunct w:val="0"/>
              <w:autoSpaceDE/>
              <w:autoSpaceDN/>
              <w:bidi w:val="0"/>
              <w:adjustRightInd/>
              <w:snapToGrid/>
              <w:spacing w:line="400" w:lineRule="exact"/>
              <w:ind w:firstLine="514" w:firstLineChars="200"/>
              <w:jc w:val="both"/>
              <w:textAlignment w:val="auto"/>
              <w:rPr>
                <w:rFonts w:hint="eastAsia" w:ascii="仿宋_GB2312" w:hAnsi="仿宋_GB2312" w:eastAsia="仿宋_GB2312" w:cs="仿宋_GB2312"/>
                <w:sz w:val="24"/>
                <w:u w:val="none"/>
                <w:lang w:val="en-US" w:eastAsia="zh-CN"/>
              </w:rPr>
            </w:pPr>
            <w:r>
              <w:rPr>
                <w:rFonts w:hint="eastAsia" w:ascii="仿宋_GB2312" w:hAnsi="仿宋_GB2312" w:eastAsia="仿宋_GB2312" w:cs="仿宋_GB2312"/>
                <w:sz w:val="24"/>
                <w:u w:val="none"/>
                <w:lang w:val="en-US" w:eastAsia="zh-CN"/>
              </w:rPr>
              <w:t>1、生物基耐候触感材料：生物基多元醇纯度≥99.5%、耐黄变≥4级、VOC≤50g/L、耐摩擦≥1000次、耐候性（-30℃-100℃）无异常；</w:t>
            </w:r>
          </w:p>
          <w:p w14:paraId="1C14F777">
            <w:pPr>
              <w:keepNext w:val="0"/>
              <w:keepLines w:val="0"/>
              <w:pageBreakBefore w:val="0"/>
              <w:widowControl/>
              <w:suppressLineNumbers w:val="0"/>
              <w:kinsoku/>
              <w:wordWrap/>
              <w:overflowPunct/>
              <w:topLinePunct w:val="0"/>
              <w:autoSpaceDE/>
              <w:autoSpaceDN/>
              <w:bidi w:val="0"/>
              <w:adjustRightInd/>
              <w:snapToGrid/>
              <w:spacing w:line="400" w:lineRule="exact"/>
              <w:ind w:firstLine="514" w:firstLineChars="200"/>
              <w:jc w:val="both"/>
              <w:textAlignment w:val="auto"/>
              <w:rPr>
                <w:rFonts w:hint="eastAsia" w:ascii="仿宋_GB2312" w:hAnsi="仿宋_GB2312" w:eastAsia="仿宋_GB2312" w:cs="仿宋_GB2312"/>
                <w:sz w:val="24"/>
                <w:u w:val="none"/>
                <w:lang w:val="en-US" w:eastAsia="zh-CN"/>
              </w:rPr>
            </w:pPr>
            <w:r>
              <w:rPr>
                <w:rFonts w:hint="eastAsia" w:ascii="仿宋_GB2312" w:hAnsi="仿宋_GB2312" w:eastAsia="仿宋_GB2312" w:cs="仿宋_GB2312"/>
                <w:sz w:val="24"/>
                <w:u w:val="none"/>
                <w:lang w:val="en-US" w:eastAsia="zh-CN"/>
              </w:rPr>
              <w:t>2、工艺设备：喷涂雾化精度≤5μm、一级喷嘴压力200 bar，流量控制误差≤±0.5%、涂层厚度0.8-1.2μm、使用寿命≥3000次循环；</w:t>
            </w:r>
          </w:p>
          <w:p w14:paraId="2B7DDD3E">
            <w:pPr>
              <w:keepNext w:val="0"/>
              <w:keepLines w:val="0"/>
              <w:pageBreakBefore w:val="0"/>
              <w:widowControl/>
              <w:suppressLineNumbers w:val="0"/>
              <w:kinsoku/>
              <w:wordWrap/>
              <w:overflowPunct/>
              <w:topLinePunct w:val="0"/>
              <w:autoSpaceDE/>
              <w:autoSpaceDN/>
              <w:bidi w:val="0"/>
              <w:adjustRightInd/>
              <w:snapToGrid/>
              <w:spacing w:line="400" w:lineRule="exact"/>
              <w:ind w:firstLine="514" w:firstLineChars="200"/>
              <w:jc w:val="both"/>
              <w:textAlignment w:val="auto"/>
              <w:rPr>
                <w:rFonts w:hint="eastAsia" w:ascii="仿宋_GB2312" w:hAnsi="仿宋_GB2312" w:eastAsia="仿宋_GB2312" w:cs="仿宋_GB2312"/>
                <w:b w:val="0"/>
                <w:bCs w:val="0"/>
                <w:sz w:val="24"/>
                <w:u w:val="none"/>
                <w:lang w:val="en-US" w:eastAsia="zh-CN"/>
              </w:rPr>
            </w:pPr>
            <w:r>
              <w:rPr>
                <w:rFonts w:hint="eastAsia" w:ascii="仿宋_GB2312" w:hAnsi="仿宋_GB2312" w:eastAsia="仿宋_GB2312" w:cs="仿宋_GB2312"/>
                <w:b w:val="0"/>
                <w:bCs w:val="0"/>
                <w:sz w:val="24"/>
                <w:u w:val="none"/>
                <w:lang w:val="en-US" w:eastAsia="zh-CN"/>
              </w:rPr>
              <w:t>3、模具与制造：模面纹理一致性偏差≤2%、智能内饰纹理100%复刻；</w:t>
            </w:r>
          </w:p>
          <w:p w14:paraId="0A72F866">
            <w:pPr>
              <w:keepNext w:val="0"/>
              <w:keepLines w:val="0"/>
              <w:pageBreakBefore w:val="0"/>
              <w:widowControl/>
              <w:suppressLineNumbers w:val="0"/>
              <w:kinsoku/>
              <w:wordWrap/>
              <w:overflowPunct/>
              <w:topLinePunct w:val="0"/>
              <w:autoSpaceDE/>
              <w:autoSpaceDN/>
              <w:bidi w:val="0"/>
              <w:adjustRightInd/>
              <w:snapToGrid/>
              <w:spacing w:line="400" w:lineRule="exact"/>
              <w:ind w:firstLine="514" w:firstLineChars="200"/>
              <w:jc w:val="both"/>
              <w:textAlignment w:val="auto"/>
              <w:rPr>
                <w:rFonts w:hint="eastAsia" w:ascii="仿宋_GB2312" w:hAnsi="仿宋_GB2312" w:eastAsia="仿宋_GB2312" w:cs="仿宋_GB2312"/>
                <w:sz w:val="24"/>
                <w:u w:val="none"/>
              </w:rPr>
            </w:pPr>
            <w:r>
              <w:rPr>
                <w:rFonts w:hint="eastAsia" w:ascii="仿宋_GB2312" w:hAnsi="仿宋_GB2312" w:eastAsia="仿宋_GB2312" w:cs="仿宋_GB2312"/>
                <w:sz w:val="24"/>
                <w:u w:val="none"/>
                <w:lang w:val="en-US" w:eastAsia="zh-CN"/>
              </w:rPr>
              <w:t>4、智能内饰集成：压感导电膜</w:t>
            </w:r>
            <w:r>
              <w:rPr>
                <w:rFonts w:hint="eastAsia" w:ascii="仿宋_GB2312" w:hAnsi="仿宋_GB2312" w:eastAsia="仿宋_GB2312" w:cs="仿宋_GB2312"/>
                <w:sz w:val="24"/>
                <w:u w:val="none"/>
              </w:rPr>
              <w:t>触发力≤5g、响应延迟≤10ms、多点触控识别率≥99%、阵列一致性偏差≤5%、1000次弯折性能衰</w:t>
            </w:r>
            <w:r>
              <w:rPr>
                <w:rFonts w:hint="eastAsia" w:ascii="仿宋_GB2312" w:hAnsi="仿宋_GB2312" w:eastAsia="仿宋_GB2312" w:cs="仿宋_GB2312"/>
                <w:sz w:val="24"/>
                <w:u w:val="none"/>
                <w:lang w:eastAsia="zh-CN"/>
              </w:rPr>
              <w:t>减</w:t>
            </w:r>
            <w:r>
              <w:rPr>
                <w:rFonts w:hint="eastAsia" w:ascii="仿宋_GB2312" w:hAnsi="仿宋_GB2312" w:eastAsia="仿宋_GB2312" w:cs="仿宋_GB2312"/>
                <w:sz w:val="24"/>
                <w:u w:val="none"/>
              </w:rPr>
              <w:t>≤10%。</w:t>
            </w:r>
          </w:p>
          <w:p w14:paraId="633D020F">
            <w:pPr>
              <w:keepNext w:val="0"/>
              <w:keepLines w:val="0"/>
              <w:pageBreakBefore w:val="0"/>
              <w:kinsoku/>
              <w:wordWrap/>
              <w:overflowPunct/>
              <w:topLinePunct w:val="0"/>
              <w:autoSpaceDE/>
              <w:autoSpaceDN/>
              <w:bidi w:val="0"/>
              <w:adjustRightInd/>
              <w:snapToGrid/>
              <w:spacing w:line="400" w:lineRule="exact"/>
              <w:ind w:firstLine="514" w:firstLineChars="200"/>
              <w:jc w:val="both"/>
              <w:textAlignment w:val="auto"/>
              <w:rPr>
                <w:rFonts w:hint="eastAsia" w:ascii="仿宋_GB2312" w:hAnsi="仿宋_GB2312" w:eastAsia="仿宋_GB2312" w:cs="仿宋_GB2312"/>
                <w:sz w:val="24"/>
                <w:u w:val="none"/>
              </w:rPr>
            </w:pPr>
            <w:r>
              <w:rPr>
                <w:rFonts w:hint="eastAsia" w:ascii="仿宋_GB2312" w:hAnsi="仿宋_GB2312" w:eastAsia="仿宋_GB2312" w:cs="仿宋_GB2312"/>
                <w:b/>
                <w:bCs/>
                <w:sz w:val="24"/>
                <w:szCs w:val="24"/>
                <w:u w:val="none"/>
                <w:lang w:eastAsia="zh-CN"/>
              </w:rPr>
              <w:t>三、成果指标</w:t>
            </w:r>
          </w:p>
          <w:p w14:paraId="0ACC2497">
            <w:pPr>
              <w:keepNext w:val="0"/>
              <w:keepLines w:val="0"/>
              <w:pageBreakBefore w:val="0"/>
              <w:widowControl/>
              <w:suppressLineNumbers w:val="0"/>
              <w:kinsoku/>
              <w:wordWrap/>
              <w:overflowPunct/>
              <w:topLinePunct w:val="0"/>
              <w:autoSpaceDE/>
              <w:autoSpaceDN/>
              <w:bidi w:val="0"/>
              <w:adjustRightInd/>
              <w:snapToGrid/>
              <w:spacing w:line="400" w:lineRule="exact"/>
              <w:ind w:firstLine="514" w:firstLineChars="200"/>
              <w:jc w:val="both"/>
              <w:textAlignment w:val="auto"/>
              <w:rPr>
                <w:rFonts w:hint="eastAsia" w:ascii="仿宋_GB2312" w:hAnsi="仿宋_GB2312" w:eastAsia="仿宋_GB2312" w:cs="仿宋_GB2312"/>
                <w:sz w:val="24"/>
                <w:u w:val="none"/>
                <w:lang w:val="en-US" w:eastAsia="zh-CN"/>
              </w:rPr>
            </w:pPr>
            <w:r>
              <w:rPr>
                <w:rFonts w:hint="eastAsia" w:ascii="仿宋_GB2312" w:hAnsi="仿宋_GB2312" w:eastAsia="仿宋_GB2312" w:cs="仿宋_GB2312"/>
                <w:sz w:val="24"/>
                <w:u w:val="none"/>
                <w:lang w:val="en-US" w:eastAsia="zh-CN"/>
              </w:rPr>
              <w:t>申请专利5-8件（其中发明专利不少于3件）；发表论文5篇以上（其中SCI不少于3篇）；参与制定团体/企业标准1项。</w:t>
            </w:r>
          </w:p>
          <w:p w14:paraId="17B96F6D">
            <w:pPr>
              <w:keepNext w:val="0"/>
              <w:keepLines w:val="0"/>
              <w:pageBreakBefore w:val="0"/>
              <w:widowControl/>
              <w:suppressLineNumbers w:val="0"/>
              <w:kinsoku/>
              <w:wordWrap/>
              <w:overflowPunct/>
              <w:topLinePunct w:val="0"/>
              <w:autoSpaceDE/>
              <w:autoSpaceDN/>
              <w:bidi w:val="0"/>
              <w:adjustRightInd/>
              <w:snapToGrid/>
              <w:spacing w:line="400" w:lineRule="exact"/>
              <w:ind w:firstLine="514" w:firstLineChars="200"/>
              <w:jc w:val="both"/>
              <w:textAlignment w:val="auto"/>
              <w:rPr>
                <w:rFonts w:hint="eastAsia" w:ascii="仿宋_GB2312" w:hAnsi="仿宋_GB2312" w:eastAsia="仿宋_GB2312" w:cs="仿宋_GB2312"/>
                <w:sz w:val="24"/>
                <w:u w:val="none"/>
                <w:lang w:val="en-US" w:eastAsia="zh-CN"/>
              </w:rPr>
            </w:pPr>
            <w:r>
              <w:rPr>
                <w:rFonts w:hint="eastAsia" w:ascii="仿宋_GB2312" w:hAnsi="仿宋_GB2312" w:eastAsia="仿宋_GB2312" w:cs="仿宋_GB2312"/>
                <w:b/>
                <w:bCs/>
                <w:sz w:val="24"/>
                <w:u w:val="none"/>
                <w:lang w:val="en-US" w:eastAsia="zh-CN"/>
              </w:rPr>
              <w:t>四、经济社会效益指标</w:t>
            </w:r>
          </w:p>
          <w:p w14:paraId="2F167A73">
            <w:pPr>
              <w:keepNext w:val="0"/>
              <w:keepLines w:val="0"/>
              <w:pageBreakBefore w:val="0"/>
              <w:widowControl/>
              <w:suppressLineNumbers w:val="0"/>
              <w:kinsoku/>
              <w:wordWrap/>
              <w:overflowPunct/>
              <w:topLinePunct w:val="0"/>
              <w:autoSpaceDE/>
              <w:autoSpaceDN/>
              <w:bidi w:val="0"/>
              <w:adjustRightInd/>
              <w:snapToGrid/>
              <w:spacing w:line="400" w:lineRule="exact"/>
              <w:ind w:firstLine="514" w:firstLineChars="200"/>
              <w:jc w:val="both"/>
              <w:textAlignment w:val="auto"/>
              <w:rPr>
                <w:rFonts w:hint="eastAsia" w:ascii="仿宋_GB2312" w:hAnsi="仿宋_GB2312" w:eastAsia="仿宋_GB2312" w:cs="仿宋_GB2312"/>
                <w:sz w:val="24"/>
                <w:u w:val="none"/>
              </w:rPr>
            </w:pPr>
            <w:r>
              <w:rPr>
                <w:rFonts w:hint="eastAsia" w:ascii="仿宋_GB2312" w:hAnsi="仿宋_GB2312" w:eastAsia="仿宋_GB2312" w:cs="仿宋_GB2312"/>
                <w:sz w:val="24"/>
                <w:u w:val="none"/>
                <w:lang w:val="en-US" w:eastAsia="zh-CN"/>
              </w:rPr>
              <w:t>打破德日垄断，筑牢产业链安全，填补省内短板，带动精细化工、精密涂布、智能装备产业增长，建成示范生产线至少1条以上，实施期预计新增销售收入5000万元，国内市场份额提升至35%以上，支撑福建万亿级新能源汽车产业集群建设。</w:t>
            </w:r>
          </w:p>
        </w:tc>
        <w:tc>
          <w:tcPr>
            <w:tcW w:w="1447" w:type="dxa"/>
            <w:tcBorders>
              <w:top w:val="single" w:color="auto" w:sz="4" w:space="0"/>
              <w:left w:val="single" w:color="auto" w:sz="4" w:space="0"/>
              <w:bottom w:val="single" w:color="auto" w:sz="4" w:space="0"/>
              <w:right w:val="single" w:color="auto" w:sz="4" w:space="0"/>
            </w:tcBorders>
            <w:vAlign w:val="center"/>
          </w:tcPr>
          <w:p w14:paraId="0C2E04A9">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24"/>
                <w:u w:val="none"/>
                <w:lang w:eastAsia="zh-CN"/>
              </w:rPr>
            </w:pPr>
            <w:r>
              <w:rPr>
                <w:rFonts w:hint="eastAsia" w:ascii="仿宋_GB2312" w:hAnsi="仿宋_GB2312" w:eastAsia="仿宋_GB2312" w:cs="仿宋_GB2312"/>
                <w:sz w:val="24"/>
                <w:u w:val="none"/>
              </w:rPr>
              <w:t>300</w:t>
            </w:r>
          </w:p>
        </w:tc>
        <w:tc>
          <w:tcPr>
            <w:tcW w:w="1556" w:type="dxa"/>
            <w:tcBorders>
              <w:top w:val="single" w:color="auto" w:sz="4" w:space="0"/>
              <w:left w:val="single" w:color="auto" w:sz="4" w:space="0"/>
              <w:bottom w:val="single" w:color="auto" w:sz="4" w:space="0"/>
              <w:right w:val="single" w:color="auto" w:sz="4" w:space="0"/>
            </w:tcBorders>
            <w:vAlign w:val="center"/>
          </w:tcPr>
          <w:p w14:paraId="63EDCEED">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仿宋_GB2312" w:eastAsia="仿宋_GB2312"/>
                <w:sz w:val="24"/>
                <w:u w:val="none"/>
              </w:rPr>
            </w:pPr>
            <w:r>
              <w:rPr>
                <w:rFonts w:hint="eastAsia" w:ascii="仿宋_GB2312" w:hAnsi="宋体" w:eastAsia="仿宋_GB2312" w:cs="宋体"/>
                <w:bCs/>
                <w:kern w:val="0"/>
                <w:sz w:val="24"/>
                <w:u w:val="none"/>
              </w:rPr>
              <w:t>申报单位须对本专题的整体研发内容和目标进行申报</w:t>
            </w:r>
          </w:p>
        </w:tc>
      </w:tr>
    </w:tbl>
    <w:p w14:paraId="0366DB38">
      <w:pPr>
        <w:jc w:val="center"/>
        <w:rPr>
          <w:rFonts w:hint="eastAsia" w:ascii="黑体" w:hAnsi="黑体" w:eastAsia="黑体" w:cs="黑体"/>
          <w:sz w:val="32"/>
          <w:szCs w:val="32"/>
          <w:u w:val="none"/>
        </w:rPr>
      </w:pPr>
    </w:p>
    <w:p w14:paraId="63BB6EDD">
      <w:pPr>
        <w:jc w:val="center"/>
        <w:rPr>
          <w:rFonts w:hint="eastAsia" w:ascii="黑体" w:hAnsi="黑体" w:eastAsia="黑体" w:cs="黑体"/>
          <w:sz w:val="32"/>
          <w:szCs w:val="32"/>
          <w:u w:val="none"/>
        </w:rPr>
      </w:pPr>
    </w:p>
    <w:p w14:paraId="7B6AD273">
      <w:pPr>
        <w:jc w:val="center"/>
        <w:rPr>
          <w:rFonts w:hint="eastAsia" w:ascii="黑体" w:hAnsi="黑体" w:eastAsia="黑体" w:cs="黑体"/>
          <w:sz w:val="32"/>
          <w:szCs w:val="32"/>
          <w:u w:val="none"/>
        </w:rPr>
      </w:pPr>
    </w:p>
    <w:p w14:paraId="573629D0">
      <w:pPr>
        <w:jc w:val="center"/>
        <w:rPr>
          <w:rFonts w:hint="eastAsia" w:ascii="黑体" w:hAnsi="黑体" w:eastAsia="黑体" w:cs="黑体"/>
          <w:sz w:val="32"/>
          <w:szCs w:val="32"/>
          <w:u w:val="none"/>
        </w:rPr>
      </w:pPr>
    </w:p>
    <w:p w14:paraId="6B2892E9">
      <w:pPr>
        <w:jc w:val="center"/>
        <w:rPr>
          <w:rFonts w:hint="eastAsia" w:ascii="黑体" w:hAnsi="黑体" w:eastAsia="黑体" w:cs="黑体"/>
          <w:sz w:val="32"/>
          <w:szCs w:val="32"/>
          <w:u w:val="none"/>
        </w:rPr>
      </w:pPr>
    </w:p>
    <w:p w14:paraId="27F6A5FA">
      <w:pPr>
        <w:jc w:val="center"/>
        <w:rPr>
          <w:rFonts w:hint="eastAsia" w:ascii="黑体" w:hAnsi="黑体" w:eastAsia="黑体" w:cs="黑体"/>
          <w:sz w:val="32"/>
          <w:szCs w:val="32"/>
          <w:u w:val="none"/>
        </w:rPr>
      </w:pPr>
    </w:p>
    <w:p w14:paraId="449BF62E">
      <w:pPr>
        <w:jc w:val="center"/>
        <w:rPr>
          <w:rFonts w:hint="eastAsia" w:ascii="黑体" w:hAnsi="黑体" w:eastAsia="黑体" w:cs="黑体"/>
          <w:sz w:val="32"/>
          <w:szCs w:val="32"/>
          <w:u w:val="none"/>
        </w:rPr>
      </w:pPr>
    </w:p>
    <w:p w14:paraId="5664AC6E">
      <w:pPr>
        <w:jc w:val="center"/>
        <w:rPr>
          <w:rFonts w:hint="eastAsia" w:ascii="黑体" w:hAnsi="黑体" w:eastAsia="黑体" w:cs="黑体"/>
          <w:sz w:val="32"/>
          <w:szCs w:val="32"/>
          <w:u w:val="none"/>
        </w:rPr>
      </w:pPr>
    </w:p>
    <w:p w14:paraId="52DFE120">
      <w:pPr>
        <w:jc w:val="center"/>
        <w:rPr>
          <w:rFonts w:hint="eastAsia" w:ascii="黑体" w:hAnsi="黑体" w:eastAsia="黑体" w:cs="黑体"/>
          <w:sz w:val="32"/>
          <w:szCs w:val="32"/>
          <w:u w:val="none"/>
        </w:rPr>
      </w:pPr>
    </w:p>
    <w:p w14:paraId="5C97B15E">
      <w:pPr>
        <w:jc w:val="center"/>
        <w:rPr>
          <w:rFonts w:hint="eastAsia" w:ascii="黑体" w:hAnsi="黑体" w:eastAsia="黑体" w:cs="黑体"/>
          <w:sz w:val="32"/>
          <w:szCs w:val="32"/>
          <w:u w:val="none"/>
          <w:lang w:val="en-US" w:eastAsia="zh-CN"/>
        </w:rPr>
      </w:pPr>
      <w:bookmarkStart w:id="12" w:name="_GoBack"/>
      <w:bookmarkEnd w:id="12"/>
      <w:r>
        <w:rPr>
          <w:rFonts w:hint="eastAsia" w:ascii="黑体" w:hAnsi="黑体" w:eastAsia="黑体" w:cs="黑体"/>
          <w:sz w:val="32"/>
          <w:szCs w:val="32"/>
          <w:u w:val="none"/>
        </w:rPr>
        <w:t>科技重大专项申报选题表（</w:t>
      </w:r>
      <w:r>
        <w:rPr>
          <w:rFonts w:hint="eastAsia" w:ascii="黑体" w:hAnsi="黑体" w:eastAsia="黑体" w:cs="黑体"/>
          <w:sz w:val="32"/>
          <w:szCs w:val="32"/>
          <w:u w:val="none"/>
          <w:lang w:eastAsia="zh-CN"/>
        </w:rPr>
        <w:t>五</w:t>
      </w:r>
      <w:r>
        <w:rPr>
          <w:rFonts w:hint="eastAsia" w:ascii="黑体" w:hAnsi="黑体" w:eastAsia="黑体" w:cs="黑体"/>
          <w:sz w:val="32"/>
          <w:szCs w:val="32"/>
          <w:u w:val="none"/>
        </w:rPr>
        <w:t>）指南代码202</w:t>
      </w:r>
      <w:r>
        <w:rPr>
          <w:rFonts w:hint="eastAsia" w:ascii="黑体" w:hAnsi="黑体" w:eastAsia="黑体" w:cs="黑体"/>
          <w:sz w:val="32"/>
          <w:szCs w:val="32"/>
          <w:u w:val="none"/>
          <w:lang w:val="en-US" w:eastAsia="zh-CN"/>
        </w:rPr>
        <w:t>6HZ0105</w:t>
      </w:r>
    </w:p>
    <w:tbl>
      <w:tblPr>
        <w:tblStyle w:val="12"/>
        <w:tblW w:w="9429" w:type="dxa"/>
        <w:tblInd w:w="-1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70"/>
        <w:gridCol w:w="1314"/>
        <w:gridCol w:w="3742"/>
        <w:gridCol w:w="1447"/>
        <w:gridCol w:w="1556"/>
      </w:tblGrid>
      <w:tr w14:paraId="533C1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9" w:hRule="atLeast"/>
        </w:trPr>
        <w:tc>
          <w:tcPr>
            <w:tcW w:w="1370" w:type="dxa"/>
            <w:tcBorders>
              <w:top w:val="single" w:color="auto" w:sz="4" w:space="0"/>
              <w:left w:val="single" w:color="auto" w:sz="4" w:space="0"/>
              <w:bottom w:val="single" w:color="auto" w:sz="4" w:space="0"/>
              <w:right w:val="single" w:color="auto" w:sz="4" w:space="0"/>
            </w:tcBorders>
            <w:vAlign w:val="center"/>
          </w:tcPr>
          <w:p w14:paraId="615D0E6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bCs/>
                <w:kern w:val="0"/>
                <w:sz w:val="24"/>
                <w:u w:val="none"/>
              </w:rPr>
            </w:pPr>
            <w:r>
              <w:rPr>
                <w:rFonts w:hint="eastAsia" w:ascii="黑体" w:hAnsi="黑体" w:eastAsia="黑体" w:cs="黑体"/>
                <w:bCs/>
                <w:kern w:val="0"/>
                <w:sz w:val="24"/>
                <w:u w:val="none"/>
              </w:rPr>
              <w:t>所属重大专项名称</w:t>
            </w:r>
          </w:p>
        </w:tc>
        <w:tc>
          <w:tcPr>
            <w:tcW w:w="1314" w:type="dxa"/>
            <w:tcBorders>
              <w:top w:val="single" w:color="auto" w:sz="4" w:space="0"/>
              <w:left w:val="single" w:color="auto" w:sz="4" w:space="0"/>
              <w:bottom w:val="single" w:color="auto" w:sz="4" w:space="0"/>
              <w:right w:val="single" w:color="auto" w:sz="4" w:space="0"/>
            </w:tcBorders>
            <w:vAlign w:val="center"/>
          </w:tcPr>
          <w:p w14:paraId="0EB0A14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sz w:val="24"/>
                <w:u w:val="none"/>
              </w:rPr>
            </w:pPr>
            <w:r>
              <w:rPr>
                <w:rFonts w:hint="eastAsia" w:ascii="黑体" w:hAnsi="黑体" w:eastAsia="黑体" w:cs="黑体"/>
                <w:sz w:val="24"/>
                <w:u w:val="none"/>
              </w:rPr>
              <w:t>选题</w:t>
            </w:r>
          </w:p>
          <w:p w14:paraId="47D2687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sz w:val="24"/>
                <w:u w:val="none"/>
              </w:rPr>
            </w:pPr>
            <w:r>
              <w:rPr>
                <w:rFonts w:hint="eastAsia" w:ascii="黑体" w:hAnsi="黑体" w:eastAsia="黑体" w:cs="黑体"/>
                <w:sz w:val="24"/>
                <w:u w:val="none"/>
              </w:rPr>
              <w:t>方向</w:t>
            </w:r>
          </w:p>
        </w:tc>
        <w:tc>
          <w:tcPr>
            <w:tcW w:w="3742" w:type="dxa"/>
            <w:tcBorders>
              <w:top w:val="single" w:color="auto" w:sz="4" w:space="0"/>
              <w:left w:val="single" w:color="auto" w:sz="4" w:space="0"/>
              <w:bottom w:val="single" w:color="auto" w:sz="4" w:space="0"/>
              <w:right w:val="single" w:color="auto" w:sz="4" w:space="0"/>
            </w:tcBorders>
            <w:vAlign w:val="center"/>
          </w:tcPr>
          <w:p w14:paraId="1E76196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sz w:val="24"/>
                <w:u w:val="none"/>
              </w:rPr>
            </w:pPr>
            <w:r>
              <w:rPr>
                <w:rFonts w:hint="eastAsia" w:ascii="黑体" w:hAnsi="黑体" w:eastAsia="黑体" w:cs="黑体"/>
                <w:sz w:val="24"/>
                <w:u w:val="none"/>
              </w:rPr>
              <w:t>选题方向重点内容</w:t>
            </w:r>
          </w:p>
        </w:tc>
        <w:tc>
          <w:tcPr>
            <w:tcW w:w="1447" w:type="dxa"/>
            <w:tcBorders>
              <w:top w:val="single" w:color="auto" w:sz="4" w:space="0"/>
              <w:left w:val="single" w:color="auto" w:sz="4" w:space="0"/>
              <w:bottom w:val="single" w:color="auto" w:sz="4" w:space="0"/>
              <w:right w:val="single" w:color="auto" w:sz="4" w:space="0"/>
            </w:tcBorders>
            <w:vAlign w:val="center"/>
          </w:tcPr>
          <w:p w14:paraId="61AFCC0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sz w:val="24"/>
                <w:u w:val="none"/>
              </w:rPr>
            </w:pPr>
            <w:r>
              <w:rPr>
                <w:rFonts w:hint="eastAsia" w:ascii="黑体" w:hAnsi="黑体" w:eastAsia="黑体" w:cs="黑体"/>
                <w:sz w:val="24"/>
                <w:u w:val="none"/>
                <w:lang w:eastAsia="zh-CN"/>
              </w:rPr>
              <w:t>最高</w:t>
            </w:r>
            <w:r>
              <w:rPr>
                <w:rFonts w:hint="eastAsia" w:ascii="黑体" w:hAnsi="黑体" w:eastAsia="黑体" w:cs="黑体"/>
                <w:sz w:val="24"/>
                <w:u w:val="none"/>
              </w:rPr>
              <w:t>申请资助经费</w:t>
            </w:r>
          </w:p>
          <w:p w14:paraId="3A7E63C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sz w:val="24"/>
                <w:u w:val="none"/>
              </w:rPr>
            </w:pPr>
            <w:r>
              <w:rPr>
                <w:rFonts w:hint="eastAsia" w:ascii="黑体" w:hAnsi="黑体" w:eastAsia="黑体" w:cs="黑体"/>
                <w:sz w:val="24"/>
                <w:u w:val="none"/>
              </w:rPr>
              <w:t>（万元）</w:t>
            </w:r>
          </w:p>
        </w:tc>
        <w:tc>
          <w:tcPr>
            <w:tcW w:w="1556" w:type="dxa"/>
            <w:tcBorders>
              <w:top w:val="single" w:color="auto" w:sz="4" w:space="0"/>
              <w:left w:val="single" w:color="auto" w:sz="4" w:space="0"/>
              <w:bottom w:val="single" w:color="auto" w:sz="4" w:space="0"/>
              <w:right w:val="single" w:color="auto" w:sz="4" w:space="0"/>
            </w:tcBorders>
            <w:vAlign w:val="center"/>
          </w:tcPr>
          <w:p w14:paraId="6B526D9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sz w:val="24"/>
                <w:u w:val="none"/>
              </w:rPr>
            </w:pPr>
            <w:r>
              <w:rPr>
                <w:rFonts w:hint="eastAsia" w:ascii="仿宋_GB2312" w:hAnsi="仿宋_GB2312" w:eastAsia="仿宋_GB2312" w:cs="仿宋_GB2312"/>
                <w:b/>
                <w:sz w:val="24"/>
                <w:u w:val="none"/>
              </w:rPr>
              <w:t>要求</w:t>
            </w:r>
          </w:p>
        </w:tc>
      </w:tr>
      <w:tr w14:paraId="5E151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9" w:hRule="atLeast"/>
        </w:trPr>
        <w:tc>
          <w:tcPr>
            <w:tcW w:w="1370" w:type="dxa"/>
            <w:tcBorders>
              <w:top w:val="single" w:color="auto" w:sz="4" w:space="0"/>
              <w:left w:val="single" w:color="auto" w:sz="4" w:space="0"/>
              <w:bottom w:val="single" w:color="auto" w:sz="4" w:space="0"/>
              <w:right w:val="single" w:color="auto" w:sz="4" w:space="0"/>
            </w:tcBorders>
            <w:vAlign w:val="center"/>
          </w:tcPr>
          <w:p w14:paraId="12A10B2A">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仿宋_GB2312" w:hAnsi="仿宋_GB2312" w:cs="仿宋_GB2312"/>
                <w:color w:val="auto"/>
                <w:sz w:val="24"/>
                <w:szCs w:val="24"/>
                <w:u w:val="none"/>
                <w:lang w:eastAsia="zh-CN"/>
              </w:rPr>
            </w:pPr>
            <w:r>
              <w:rPr>
                <w:rFonts w:hint="eastAsia" w:ascii="仿宋_GB2312" w:hAnsi="仿宋_GB2312" w:cs="仿宋_GB2312"/>
                <w:color w:val="auto"/>
                <w:sz w:val="24"/>
                <w:szCs w:val="24"/>
                <w:u w:val="none"/>
                <w:lang w:eastAsia="zh-CN"/>
              </w:rPr>
              <w:t>可再生</w:t>
            </w:r>
          </w:p>
          <w:p w14:paraId="5DCAD436">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仿宋_GB2312" w:hAnsi="仿宋_GB2312" w:eastAsia="仿宋_GB2312" w:cs="仿宋_GB2312"/>
                <w:bCs/>
                <w:kern w:val="0"/>
                <w:sz w:val="24"/>
                <w:u w:val="none"/>
                <w:lang w:eastAsia="zh-CN"/>
              </w:rPr>
            </w:pPr>
            <w:r>
              <w:rPr>
                <w:rFonts w:hint="eastAsia" w:ascii="仿宋_GB2312" w:hAnsi="仿宋_GB2312" w:cs="仿宋_GB2312"/>
                <w:color w:val="auto"/>
                <w:sz w:val="24"/>
                <w:szCs w:val="24"/>
                <w:u w:val="none"/>
                <w:lang w:eastAsia="zh-CN"/>
              </w:rPr>
              <w:t>能源</w:t>
            </w:r>
          </w:p>
        </w:tc>
        <w:tc>
          <w:tcPr>
            <w:tcW w:w="1314" w:type="dxa"/>
            <w:tcBorders>
              <w:top w:val="single" w:color="auto" w:sz="4" w:space="0"/>
              <w:left w:val="single" w:color="auto" w:sz="4" w:space="0"/>
              <w:bottom w:val="single" w:color="auto" w:sz="4" w:space="0"/>
              <w:right w:val="single" w:color="auto" w:sz="4" w:space="0"/>
            </w:tcBorders>
            <w:vAlign w:val="center"/>
          </w:tcPr>
          <w:p w14:paraId="2F7E4D87">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仿宋_GB2312" w:hAnsi="仿宋_GB2312" w:eastAsia="仿宋_GB2312" w:cs="仿宋_GB2312"/>
                <w:sz w:val="24"/>
                <w:u w:val="none"/>
              </w:rPr>
            </w:pPr>
            <w:r>
              <w:rPr>
                <w:rFonts w:hint="eastAsia" w:ascii="仿宋_GB2312" w:hAnsi="仿宋_GB2312" w:eastAsia="仿宋_GB2312" w:cs="仿宋_GB2312"/>
                <w:sz w:val="24"/>
                <w:szCs w:val="24"/>
                <w:u w:val="none"/>
              </w:rPr>
              <w:t>基于多模态AI的海上风电关键设施缺陷检测与故障预警技术研发及示范应用</w:t>
            </w:r>
          </w:p>
        </w:tc>
        <w:tc>
          <w:tcPr>
            <w:tcW w:w="3742" w:type="dxa"/>
            <w:tcBorders>
              <w:top w:val="single" w:color="auto" w:sz="4" w:space="0"/>
              <w:left w:val="single" w:color="auto" w:sz="4" w:space="0"/>
              <w:bottom w:val="single" w:color="auto" w:sz="4" w:space="0"/>
              <w:right w:val="single" w:color="auto" w:sz="4" w:space="0"/>
            </w:tcBorders>
            <w:vAlign w:val="top"/>
          </w:tcPr>
          <w:p w14:paraId="03C97E7E">
            <w:pPr>
              <w:keepNext w:val="0"/>
              <w:keepLines w:val="0"/>
              <w:pageBreakBefore w:val="0"/>
              <w:widowControl w:val="0"/>
              <w:numPr>
                <w:ilvl w:val="0"/>
                <w:numId w:val="5"/>
              </w:numPr>
              <w:kinsoku/>
              <w:wordWrap/>
              <w:overflowPunct/>
              <w:topLinePunct w:val="0"/>
              <w:autoSpaceDE/>
              <w:autoSpaceDN/>
              <w:bidi w:val="0"/>
              <w:adjustRightInd/>
              <w:snapToGrid/>
              <w:spacing w:line="400" w:lineRule="exact"/>
              <w:ind w:left="0" w:leftChars="0" w:right="0" w:rightChars="0" w:firstLine="0" w:firstLineChars="0"/>
              <w:textAlignment w:val="auto"/>
              <w:outlineLvl w:val="9"/>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lang w:eastAsia="zh-CN"/>
              </w:rPr>
              <w:t>技术难题和主要研发内容。</w:t>
            </w:r>
            <w:r>
              <w:rPr>
                <w:rFonts w:hint="eastAsia" w:ascii="仿宋_GB2312" w:hAnsi="仿宋_GB2312" w:eastAsia="仿宋_GB2312" w:cs="仿宋_GB2312"/>
                <w:sz w:val="24"/>
                <w:szCs w:val="24"/>
                <w:u w:val="none"/>
              </w:rPr>
              <w:t>针对海上风电运维早期缺陷识别难、故障预警滞后的痛点，研发基于多模态AI的关键设施故障诊断与预警技术。研究海上风机叶片、传动链、连接部件、海缆与基础等关键设施缺陷的多维度物理量检测技术，实现微小缺陷早识别；研发集成无人机、ROV与多功能运维船的立体检测装备系统，实现关键设施的跨域协同检测；研究多源数据时空关联、多模态AI故障诊断与模型轻量化技术，形成集状态更新、历史追溯、三维可视化及无人装备任务管理一体的数字孪生平台；建立考虑材料非正交流动特性的关键设施损伤力学模型，形成物理信息约束的失效准则，搭建风机关键设施典型故障物理实验验证平台，实现剩余寿命预测与故障主动预警。</w:t>
            </w:r>
          </w:p>
          <w:p w14:paraId="69C2F7B3">
            <w:pPr>
              <w:keepNext w:val="0"/>
              <w:keepLines w:val="0"/>
              <w:pageBreakBefore w:val="0"/>
              <w:widowControl w:val="0"/>
              <w:numPr>
                <w:ilvl w:val="0"/>
                <w:numId w:val="5"/>
              </w:numPr>
              <w:kinsoku/>
              <w:wordWrap/>
              <w:overflowPunct/>
              <w:topLinePunct w:val="0"/>
              <w:autoSpaceDE/>
              <w:autoSpaceDN/>
              <w:bidi w:val="0"/>
              <w:adjustRightInd/>
              <w:snapToGrid/>
              <w:spacing w:line="400" w:lineRule="exact"/>
              <w:ind w:left="0" w:leftChars="0" w:right="0" w:rightChars="0" w:firstLine="0" w:firstLineChars="0"/>
              <w:textAlignment w:val="auto"/>
              <w:outlineLvl w:val="9"/>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预期</w:t>
            </w:r>
            <w:r>
              <w:rPr>
                <w:rFonts w:hint="eastAsia" w:ascii="仿宋_GB2312" w:hAnsi="仿宋_GB2312" w:eastAsia="仿宋_GB2312" w:cs="仿宋_GB2312"/>
                <w:sz w:val="24"/>
                <w:szCs w:val="24"/>
                <w:u w:val="none"/>
                <w:lang w:eastAsia="zh-CN"/>
              </w:rPr>
              <w:t>技术</w:t>
            </w:r>
            <w:r>
              <w:rPr>
                <w:rFonts w:hint="eastAsia" w:ascii="仿宋_GB2312" w:hAnsi="仿宋_GB2312" w:eastAsia="仿宋_GB2312" w:cs="仿宋_GB2312"/>
                <w:sz w:val="24"/>
                <w:szCs w:val="24"/>
                <w:u w:val="none"/>
              </w:rPr>
              <w:t>指标</w:t>
            </w:r>
            <w:r>
              <w:rPr>
                <w:rFonts w:hint="eastAsia" w:ascii="仿宋_GB2312" w:hAnsi="仿宋_GB2312" w:eastAsia="仿宋_GB2312" w:cs="仿宋_GB2312"/>
                <w:sz w:val="24"/>
                <w:szCs w:val="24"/>
                <w:u w:val="none"/>
                <w:lang w:eastAsia="zh-CN"/>
              </w:rPr>
              <w:t>。</w:t>
            </w:r>
            <w:r>
              <w:rPr>
                <w:rFonts w:hint="eastAsia" w:ascii="仿宋_GB2312" w:hAnsi="仿宋_GB2312" w:eastAsia="仿宋_GB2312" w:cs="仿宋_GB2312"/>
                <w:sz w:val="24"/>
                <w:szCs w:val="24"/>
                <w:u w:val="none"/>
              </w:rPr>
              <w:t>1. 海上风电关键设施早期微小缺陷检测技术：（1）叶片裂纹、腐蚀、脱胶、鼓包、连接部件退化、机舱传动链故障及海缆异常等典型缺陷识别≥15类；（2）叶片表面缺陷识别准确率≥90%，漏检率≤2%；（3）近景裂纹检测尺度≤5mm，30m 距离下微小缺陷检测尺度≤20mm。</w:t>
            </w:r>
          </w:p>
          <w:p w14:paraId="08FC9322">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textAlignment w:val="auto"/>
              <w:outlineLvl w:val="9"/>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2. 集成风电多功能运维船的立体检测装备系统1套：（1）建立空海潜协同巡检模式，实现无人装备任务规划、数据采集和异常复核一体化；（2）无人机具备自主航线规划和自动巡检能力，单台风机叶片检测时间≤25 分钟，实现叶片 360°全覆盖检测；（3）多功能运维船具备远程通信能力，执行任务期间续航≥200海里；搭载机巢，供无人机起降与续航；协助 ROV自主定位与数据回传。（4）ROV 具备水下高清视觉检测、声呐探测和，实现海缆走向、埋深、基础冲刷等检测；系统具备海缆裸露/悬空状态识别能力。</w:t>
            </w:r>
          </w:p>
          <w:p w14:paraId="259724E5">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textAlignment w:val="auto"/>
              <w:outlineLvl w:val="9"/>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3. 多模态 AI 数字孪生与智能诊断平台：（1）实现图像、振动、声学、应变、电气等不少于 5 类数据融合分析；（2）机组运行故障诊断准确率≥90%;（3）实现关键设施状态在线更新、历史追溯和三维可视化管理，模型平均加载时间≤2秒；（4）开发海上风电智能运维平台 1套，实现监测、诊断、巡检和运维协同，平台平均渲染帧率≥ 30fps，事务响应时间≤1 秒。</w:t>
            </w:r>
          </w:p>
          <w:p w14:paraId="48AD9B2F">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textAlignment w:val="auto"/>
              <w:outlineLvl w:val="9"/>
              <w:rPr>
                <w:rFonts w:hint="eastAsia" w:ascii="仿宋_GB2312" w:hAnsi="仿宋_GB2312" w:eastAsia="仿宋_GB2312" w:cs="仿宋_GB2312"/>
                <w:sz w:val="24"/>
                <w:szCs w:val="24"/>
                <w:highlight w:val="none"/>
                <w:u w:val="none"/>
              </w:rPr>
            </w:pPr>
            <w:r>
              <w:rPr>
                <w:rFonts w:hint="eastAsia" w:ascii="仿宋_GB2312" w:hAnsi="仿宋_GB2312" w:eastAsia="仿宋_GB2312" w:cs="仿宋_GB2312"/>
                <w:sz w:val="24"/>
                <w:szCs w:val="24"/>
                <w:u w:val="none"/>
              </w:rPr>
              <w:t>4. 物理信息约束的故障诊断与主动预警技术：（1）建立叶片、传动链、塔筒、海缆等关键部件损伤演化与失效判识模型≥ 4 类，形成覆盖“早期损伤—性能退化—失效”全周期的故障预测与健康管理知识库</w:t>
            </w:r>
            <w:r>
              <w:rPr>
                <w:rFonts w:hint="eastAsia" w:ascii="仿宋_GB2312" w:hAnsi="仿宋_GB2312" w:eastAsia="仿宋_GB2312" w:cs="仿宋_GB2312"/>
                <w:sz w:val="24"/>
                <w:szCs w:val="24"/>
                <w:highlight w:val="none"/>
                <w:u w:val="none"/>
              </w:rPr>
              <w:t>，支撑故障诊断准确率≥ 90%；（2）构建融合物理机理与数据驱动的健康状态评估方法，实现关键部件健康指标量化输出，健康状态分级准确率≥90%，较纯数据驱动方法，误报率降低≥10%；(3）构建基于物理信息约束的主动预警机制，机组典型故障预警提前期较传统阈值报警提前1</w:t>
            </w:r>
            <w:r>
              <w:rPr>
                <w:rFonts w:hint="eastAsia" w:ascii="仿宋_GB2312" w:hAnsi="仿宋_GB2312" w:cs="仿宋_GB2312"/>
                <w:sz w:val="24"/>
                <w:szCs w:val="24"/>
                <w:highlight w:val="none"/>
                <w:u w:val="none"/>
                <w:lang w:val="en-US" w:eastAsia="zh-CN"/>
              </w:rPr>
              <w:t>-</w:t>
            </w:r>
            <w:r>
              <w:rPr>
                <w:rFonts w:hint="eastAsia" w:ascii="仿宋_GB2312" w:hAnsi="仿宋_GB2312" w:eastAsia="仿宋_GB2312" w:cs="仿宋_GB2312"/>
                <w:sz w:val="24"/>
                <w:szCs w:val="24"/>
                <w:highlight w:val="none"/>
                <w:u w:val="none"/>
              </w:rPr>
              <w:t>4周，预警准确率≥85%。</w:t>
            </w:r>
          </w:p>
          <w:p w14:paraId="6803334B">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textAlignment w:val="auto"/>
              <w:outlineLvl w:val="9"/>
              <w:rPr>
                <w:rFonts w:hint="eastAsia" w:ascii="仿宋_GB2312" w:hAnsi="仿宋_GB2312" w:eastAsia="仿宋_GB2312" w:cs="仿宋_GB2312"/>
                <w:sz w:val="24"/>
                <w:szCs w:val="24"/>
                <w:u w:val="none"/>
                <w:lang w:val="en-US" w:eastAsia="zh-CN"/>
              </w:rPr>
            </w:pPr>
            <w:r>
              <w:rPr>
                <w:rFonts w:hint="eastAsia" w:ascii="仿宋_GB2312" w:hAnsi="仿宋_GB2312" w:eastAsia="仿宋_GB2312" w:cs="仿宋_GB2312"/>
                <w:sz w:val="24"/>
                <w:szCs w:val="24"/>
                <w:highlight w:val="none"/>
                <w:u w:val="none"/>
                <w:lang w:eastAsia="zh-CN"/>
              </w:rPr>
              <w:t>三、成果指标。</w:t>
            </w:r>
            <w:r>
              <w:rPr>
                <w:rFonts w:hint="eastAsia" w:ascii="仿宋_GB2312" w:hAnsi="仿宋_GB2312" w:eastAsia="仿宋_GB2312" w:cs="仿宋_GB2312"/>
                <w:sz w:val="24"/>
                <w:szCs w:val="24"/>
                <w:u w:val="none"/>
              </w:rPr>
              <w:t>（</w:t>
            </w:r>
            <w:r>
              <w:rPr>
                <w:rFonts w:hint="eastAsia" w:ascii="仿宋_GB2312" w:hAnsi="仿宋_GB2312" w:eastAsia="仿宋_GB2312" w:cs="仿宋_GB2312"/>
                <w:sz w:val="24"/>
                <w:szCs w:val="24"/>
                <w:u w:val="none"/>
                <w:lang w:val="en-US" w:eastAsia="zh-CN"/>
              </w:rPr>
              <w:t>1</w:t>
            </w:r>
            <w:r>
              <w:rPr>
                <w:rFonts w:hint="eastAsia" w:ascii="仿宋_GB2312" w:hAnsi="仿宋_GB2312" w:eastAsia="仿宋_GB2312" w:cs="仿宋_GB2312"/>
                <w:sz w:val="24"/>
                <w:szCs w:val="24"/>
                <w:u w:val="none"/>
              </w:rPr>
              <w:t>）形成海上风电关键设施智能检测与主动预警系统 1套；（</w:t>
            </w:r>
            <w:r>
              <w:rPr>
                <w:rFonts w:hint="eastAsia" w:ascii="仿宋_GB2312" w:hAnsi="仿宋_GB2312" w:eastAsia="仿宋_GB2312" w:cs="仿宋_GB2312"/>
                <w:sz w:val="24"/>
                <w:szCs w:val="24"/>
                <w:u w:val="none"/>
                <w:lang w:val="en-US" w:eastAsia="zh-CN"/>
              </w:rPr>
              <w:t>2</w:t>
            </w:r>
            <w:r>
              <w:rPr>
                <w:rFonts w:hint="eastAsia" w:ascii="仿宋_GB2312" w:hAnsi="仿宋_GB2312" w:eastAsia="仿宋_GB2312" w:cs="仿宋_GB2312"/>
                <w:sz w:val="24"/>
                <w:szCs w:val="24"/>
                <w:u w:val="none"/>
              </w:rPr>
              <w:t>）申请发明专利≥ 8项，软件著作权≥3项；</w:t>
            </w:r>
            <w:r>
              <w:rPr>
                <w:rFonts w:hint="eastAsia" w:ascii="仿宋_GB2312" w:hAnsi="仿宋_GB2312" w:eastAsia="仿宋_GB2312" w:cs="仿宋_GB2312"/>
                <w:sz w:val="24"/>
                <w:szCs w:val="24"/>
                <w:u w:val="none"/>
                <w:lang w:eastAsia="zh-CN"/>
              </w:rPr>
              <w:t>（</w:t>
            </w:r>
            <w:r>
              <w:rPr>
                <w:rFonts w:hint="eastAsia" w:ascii="仿宋_GB2312" w:hAnsi="仿宋_GB2312" w:eastAsia="仿宋_GB2312" w:cs="仿宋_GB2312"/>
                <w:sz w:val="24"/>
                <w:szCs w:val="24"/>
                <w:u w:val="none"/>
                <w:lang w:val="en-US" w:eastAsia="zh-CN"/>
              </w:rPr>
              <w:t>3</w:t>
            </w:r>
            <w:r>
              <w:rPr>
                <w:rFonts w:hint="eastAsia" w:ascii="仿宋_GB2312" w:hAnsi="仿宋_GB2312" w:eastAsia="仿宋_GB2312" w:cs="仿宋_GB2312"/>
                <w:sz w:val="24"/>
                <w:szCs w:val="24"/>
                <w:u w:val="none"/>
                <w:lang w:eastAsia="zh-CN"/>
              </w:rPr>
              <w:t>）</w:t>
            </w:r>
            <w:r>
              <w:rPr>
                <w:rFonts w:hint="eastAsia" w:ascii="仿宋_GB2312" w:hAnsi="仿宋_GB2312" w:eastAsia="仿宋_GB2312" w:cs="仿宋_GB2312"/>
                <w:sz w:val="24"/>
                <w:szCs w:val="24"/>
                <w:u w:val="none"/>
                <w:lang w:val="en-US" w:eastAsia="zh-CN"/>
              </w:rPr>
              <w:t>发表SCI收录论文2篇。</w:t>
            </w:r>
          </w:p>
          <w:p w14:paraId="2CC227E4">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textAlignment w:val="auto"/>
              <w:outlineLvl w:val="9"/>
              <w:rPr>
                <w:rFonts w:hint="eastAsia" w:ascii="仿宋_GB2312" w:hAnsi="仿宋_GB2312" w:eastAsia="仿宋_GB2312" w:cs="仿宋_GB2312"/>
                <w:sz w:val="24"/>
                <w:u w:val="none"/>
              </w:rPr>
            </w:pPr>
            <w:r>
              <w:rPr>
                <w:rFonts w:hint="eastAsia" w:ascii="仿宋_GB2312" w:hAnsi="仿宋_GB2312" w:eastAsia="仿宋_GB2312" w:cs="仿宋_GB2312"/>
                <w:sz w:val="24"/>
                <w:szCs w:val="24"/>
                <w:u w:val="none"/>
                <w:lang w:val="en-US" w:eastAsia="zh-CN"/>
              </w:rPr>
              <w:t>四、经济社会效益指标。</w:t>
            </w:r>
            <w:r>
              <w:rPr>
                <w:rFonts w:hint="eastAsia" w:ascii="仿宋_GB2312" w:hAnsi="仿宋_GB2312" w:eastAsia="仿宋_GB2312" w:cs="仿宋_GB2312"/>
                <w:sz w:val="24"/>
                <w:szCs w:val="24"/>
                <w:highlight w:val="none"/>
                <w:u w:val="none"/>
                <w:lang w:val="en-US" w:eastAsia="zh-CN"/>
              </w:rPr>
              <w:t>在海上风电场完成工程示范，</w:t>
            </w:r>
            <w:r>
              <w:rPr>
                <w:rFonts w:hint="eastAsia" w:ascii="仿宋_GB2312" w:hAnsi="仿宋_GB2312" w:eastAsia="仿宋_GB2312" w:cs="仿宋_GB2312"/>
                <w:sz w:val="24"/>
                <w:szCs w:val="24"/>
                <w:u w:val="none"/>
              </w:rPr>
              <w:t>累计新增产值5000万元以上</w:t>
            </w:r>
            <w:r>
              <w:rPr>
                <w:rFonts w:hint="eastAsia" w:ascii="仿宋_GB2312" w:hAnsi="仿宋_GB2312" w:eastAsia="仿宋_GB2312" w:cs="仿宋_GB2312"/>
                <w:sz w:val="24"/>
                <w:szCs w:val="24"/>
                <w:u w:val="none"/>
                <w:lang w:eastAsia="zh-CN"/>
              </w:rPr>
              <w:t>。</w:t>
            </w:r>
          </w:p>
        </w:tc>
        <w:tc>
          <w:tcPr>
            <w:tcW w:w="1447" w:type="dxa"/>
            <w:tcBorders>
              <w:top w:val="single" w:color="auto" w:sz="4" w:space="0"/>
              <w:left w:val="single" w:color="auto" w:sz="4" w:space="0"/>
              <w:bottom w:val="single" w:color="auto" w:sz="4" w:space="0"/>
              <w:right w:val="single" w:color="auto" w:sz="4" w:space="0"/>
            </w:tcBorders>
            <w:vAlign w:val="center"/>
          </w:tcPr>
          <w:p w14:paraId="7757D6E1">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仿宋_GB2312" w:hAnsi="仿宋_GB2312" w:eastAsia="仿宋_GB2312" w:cs="仿宋_GB2312"/>
                <w:sz w:val="24"/>
                <w:u w:val="none"/>
                <w:lang w:eastAsia="zh-CN"/>
              </w:rPr>
            </w:pPr>
            <w:r>
              <w:rPr>
                <w:rFonts w:hint="eastAsia" w:ascii="仿宋_GB2312" w:hAnsi="仿宋_GB2312" w:eastAsia="仿宋_GB2312" w:cs="仿宋_GB2312"/>
                <w:sz w:val="24"/>
                <w:szCs w:val="24"/>
                <w:u w:val="none"/>
              </w:rPr>
              <w:t>400万元</w:t>
            </w:r>
          </w:p>
        </w:tc>
        <w:tc>
          <w:tcPr>
            <w:tcW w:w="1556" w:type="dxa"/>
            <w:tcBorders>
              <w:top w:val="single" w:color="auto" w:sz="4" w:space="0"/>
              <w:left w:val="single" w:color="auto" w:sz="4" w:space="0"/>
              <w:bottom w:val="single" w:color="auto" w:sz="4" w:space="0"/>
              <w:right w:val="single" w:color="auto" w:sz="4" w:space="0"/>
            </w:tcBorders>
            <w:vAlign w:val="center"/>
          </w:tcPr>
          <w:p w14:paraId="510C60D9">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仿宋_GB2312" w:eastAsia="仿宋_GB2312"/>
                <w:sz w:val="24"/>
                <w:u w:val="none"/>
              </w:rPr>
            </w:pPr>
            <w:r>
              <w:rPr>
                <w:rFonts w:hint="eastAsia" w:ascii="仿宋_GB2312" w:hAnsi="宋体" w:eastAsia="仿宋_GB2312" w:cs="宋体"/>
                <w:bCs/>
                <w:kern w:val="0"/>
                <w:sz w:val="24"/>
                <w:u w:val="none"/>
              </w:rPr>
              <w:t>申报单位须对本专题的整体研发内容和目标进行申报</w:t>
            </w:r>
          </w:p>
        </w:tc>
      </w:tr>
    </w:tbl>
    <w:p w14:paraId="5D3A29E0">
      <w:pPr>
        <w:jc w:val="center"/>
        <w:rPr>
          <w:rFonts w:hint="eastAsia" w:ascii="黑体" w:hAnsi="黑体" w:eastAsia="黑体" w:cs="黑体"/>
          <w:sz w:val="32"/>
          <w:szCs w:val="32"/>
          <w:u w:val="none"/>
        </w:rPr>
      </w:pPr>
    </w:p>
    <w:p w14:paraId="41757DCC">
      <w:pPr>
        <w:jc w:val="center"/>
        <w:rPr>
          <w:rFonts w:hint="eastAsia" w:ascii="黑体" w:hAnsi="黑体" w:eastAsia="黑体" w:cs="黑体"/>
          <w:sz w:val="32"/>
          <w:szCs w:val="32"/>
          <w:u w:val="none"/>
        </w:rPr>
      </w:pPr>
    </w:p>
    <w:p w14:paraId="16E5B86B">
      <w:pPr>
        <w:jc w:val="center"/>
        <w:rPr>
          <w:rFonts w:hint="default" w:ascii="黑体" w:hAnsi="黑体" w:eastAsia="黑体" w:cs="黑体"/>
          <w:sz w:val="32"/>
          <w:szCs w:val="32"/>
          <w:u w:val="none"/>
          <w:lang w:val="en-US" w:eastAsia="zh-CN"/>
        </w:rPr>
      </w:pPr>
      <w:r>
        <w:rPr>
          <w:rFonts w:hint="eastAsia" w:ascii="黑体" w:hAnsi="黑体" w:eastAsia="黑体" w:cs="黑体"/>
          <w:sz w:val="32"/>
          <w:szCs w:val="32"/>
          <w:u w:val="none"/>
        </w:rPr>
        <w:t>科技重大专项申报选题表（</w:t>
      </w:r>
      <w:r>
        <w:rPr>
          <w:rFonts w:hint="eastAsia" w:ascii="黑体" w:hAnsi="黑体" w:eastAsia="黑体" w:cs="黑体"/>
          <w:sz w:val="32"/>
          <w:szCs w:val="32"/>
          <w:u w:val="none"/>
          <w:lang w:eastAsia="zh-CN"/>
        </w:rPr>
        <w:t>六</w:t>
      </w:r>
      <w:r>
        <w:rPr>
          <w:rFonts w:hint="eastAsia" w:ascii="黑体" w:hAnsi="黑体" w:eastAsia="黑体" w:cs="黑体"/>
          <w:sz w:val="32"/>
          <w:szCs w:val="32"/>
          <w:u w:val="none"/>
        </w:rPr>
        <w:t>）指南代码</w:t>
      </w:r>
      <w:bookmarkStart w:id="9" w:name="_Hlk212474246"/>
      <w:r>
        <w:rPr>
          <w:rFonts w:ascii="黑体" w:hAnsi="黑体" w:eastAsia="黑体" w:cs="黑体"/>
          <w:sz w:val="32"/>
          <w:szCs w:val="32"/>
          <w:u w:val="none"/>
        </w:rPr>
        <w:t>202</w:t>
      </w:r>
      <w:r>
        <w:rPr>
          <w:rFonts w:hint="eastAsia" w:ascii="黑体" w:hAnsi="黑体" w:eastAsia="黑体" w:cs="黑体"/>
          <w:sz w:val="32"/>
          <w:szCs w:val="32"/>
          <w:u w:val="none"/>
          <w:lang w:val="en-US" w:eastAsia="zh-CN"/>
        </w:rPr>
        <w:t>6NZ</w:t>
      </w:r>
      <w:bookmarkEnd w:id="9"/>
      <w:r>
        <w:rPr>
          <w:rFonts w:hint="eastAsia" w:ascii="黑体" w:hAnsi="黑体" w:eastAsia="黑体" w:cs="黑体"/>
          <w:sz w:val="32"/>
          <w:szCs w:val="32"/>
          <w:u w:val="none"/>
          <w:lang w:val="en-US" w:eastAsia="zh-CN"/>
        </w:rPr>
        <w:t>0101</w:t>
      </w:r>
    </w:p>
    <w:tbl>
      <w:tblPr>
        <w:tblStyle w:val="12"/>
        <w:tblW w:w="9429" w:type="dxa"/>
        <w:tblInd w:w="-1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70"/>
        <w:gridCol w:w="1314"/>
        <w:gridCol w:w="3742"/>
        <w:gridCol w:w="1447"/>
        <w:gridCol w:w="1556"/>
      </w:tblGrid>
      <w:tr w14:paraId="4B630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9" w:hRule="atLeast"/>
        </w:trPr>
        <w:tc>
          <w:tcPr>
            <w:tcW w:w="1370" w:type="dxa"/>
            <w:tcBorders>
              <w:top w:val="single" w:color="auto" w:sz="4" w:space="0"/>
              <w:left w:val="single" w:color="auto" w:sz="4" w:space="0"/>
              <w:bottom w:val="single" w:color="auto" w:sz="4" w:space="0"/>
              <w:right w:val="single" w:color="auto" w:sz="4" w:space="0"/>
            </w:tcBorders>
            <w:vAlign w:val="center"/>
          </w:tcPr>
          <w:p w14:paraId="3A520E2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bCs/>
                <w:kern w:val="0"/>
                <w:sz w:val="24"/>
                <w:u w:val="none"/>
              </w:rPr>
            </w:pPr>
            <w:r>
              <w:rPr>
                <w:rFonts w:hint="eastAsia" w:ascii="黑体" w:hAnsi="黑体" w:eastAsia="黑体" w:cs="黑体"/>
                <w:bCs/>
                <w:kern w:val="0"/>
                <w:sz w:val="24"/>
                <w:u w:val="none"/>
              </w:rPr>
              <w:t>所属重大专项名称</w:t>
            </w:r>
          </w:p>
        </w:tc>
        <w:tc>
          <w:tcPr>
            <w:tcW w:w="1314" w:type="dxa"/>
            <w:tcBorders>
              <w:top w:val="single" w:color="auto" w:sz="4" w:space="0"/>
              <w:left w:val="single" w:color="auto" w:sz="4" w:space="0"/>
              <w:bottom w:val="single" w:color="auto" w:sz="4" w:space="0"/>
              <w:right w:val="single" w:color="auto" w:sz="4" w:space="0"/>
            </w:tcBorders>
            <w:vAlign w:val="center"/>
          </w:tcPr>
          <w:p w14:paraId="6D64672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sz w:val="24"/>
                <w:u w:val="none"/>
              </w:rPr>
            </w:pPr>
            <w:r>
              <w:rPr>
                <w:rFonts w:hint="eastAsia" w:ascii="黑体" w:hAnsi="黑体" w:eastAsia="黑体" w:cs="黑体"/>
                <w:sz w:val="24"/>
                <w:u w:val="none"/>
              </w:rPr>
              <w:t>选题</w:t>
            </w:r>
          </w:p>
          <w:p w14:paraId="414DB08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sz w:val="24"/>
                <w:u w:val="none"/>
              </w:rPr>
            </w:pPr>
            <w:r>
              <w:rPr>
                <w:rFonts w:hint="eastAsia" w:ascii="黑体" w:hAnsi="黑体" w:eastAsia="黑体" w:cs="黑体"/>
                <w:sz w:val="24"/>
                <w:u w:val="none"/>
              </w:rPr>
              <w:t>方向</w:t>
            </w:r>
          </w:p>
        </w:tc>
        <w:tc>
          <w:tcPr>
            <w:tcW w:w="3742" w:type="dxa"/>
            <w:tcBorders>
              <w:top w:val="single" w:color="auto" w:sz="4" w:space="0"/>
              <w:left w:val="single" w:color="auto" w:sz="4" w:space="0"/>
              <w:bottom w:val="single" w:color="auto" w:sz="4" w:space="0"/>
              <w:right w:val="single" w:color="auto" w:sz="4" w:space="0"/>
            </w:tcBorders>
            <w:vAlign w:val="center"/>
          </w:tcPr>
          <w:p w14:paraId="7DA3C66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sz w:val="24"/>
                <w:u w:val="none"/>
              </w:rPr>
            </w:pPr>
            <w:r>
              <w:rPr>
                <w:rFonts w:hint="eastAsia" w:ascii="黑体" w:hAnsi="黑体" w:eastAsia="黑体" w:cs="黑体"/>
                <w:sz w:val="24"/>
                <w:u w:val="none"/>
              </w:rPr>
              <w:t>选题方向重点内容</w:t>
            </w:r>
          </w:p>
        </w:tc>
        <w:tc>
          <w:tcPr>
            <w:tcW w:w="1447" w:type="dxa"/>
            <w:tcBorders>
              <w:top w:val="single" w:color="auto" w:sz="4" w:space="0"/>
              <w:left w:val="single" w:color="auto" w:sz="4" w:space="0"/>
              <w:bottom w:val="single" w:color="auto" w:sz="4" w:space="0"/>
              <w:right w:val="single" w:color="auto" w:sz="4" w:space="0"/>
            </w:tcBorders>
            <w:vAlign w:val="center"/>
          </w:tcPr>
          <w:p w14:paraId="6678806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sz w:val="24"/>
                <w:u w:val="none"/>
              </w:rPr>
            </w:pPr>
            <w:r>
              <w:rPr>
                <w:rFonts w:hint="eastAsia" w:ascii="黑体" w:hAnsi="黑体" w:eastAsia="黑体" w:cs="黑体"/>
                <w:sz w:val="24"/>
                <w:u w:val="none"/>
                <w:lang w:eastAsia="zh-CN"/>
              </w:rPr>
              <w:t>最高</w:t>
            </w:r>
            <w:r>
              <w:rPr>
                <w:rFonts w:hint="eastAsia" w:ascii="黑体" w:hAnsi="黑体" w:eastAsia="黑体" w:cs="黑体"/>
                <w:sz w:val="24"/>
                <w:u w:val="none"/>
              </w:rPr>
              <w:t>申请资助经费</w:t>
            </w:r>
          </w:p>
          <w:p w14:paraId="50D2409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sz w:val="24"/>
                <w:u w:val="none"/>
              </w:rPr>
            </w:pPr>
            <w:r>
              <w:rPr>
                <w:rFonts w:hint="eastAsia" w:ascii="黑体" w:hAnsi="黑体" w:eastAsia="黑体" w:cs="黑体"/>
                <w:sz w:val="24"/>
                <w:u w:val="none"/>
              </w:rPr>
              <w:t>（万元）</w:t>
            </w:r>
          </w:p>
        </w:tc>
        <w:tc>
          <w:tcPr>
            <w:tcW w:w="1556" w:type="dxa"/>
            <w:tcBorders>
              <w:top w:val="single" w:color="auto" w:sz="4" w:space="0"/>
              <w:left w:val="single" w:color="auto" w:sz="4" w:space="0"/>
              <w:bottom w:val="single" w:color="auto" w:sz="4" w:space="0"/>
              <w:right w:val="single" w:color="auto" w:sz="4" w:space="0"/>
            </w:tcBorders>
            <w:vAlign w:val="center"/>
          </w:tcPr>
          <w:p w14:paraId="233E379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sz w:val="24"/>
                <w:u w:val="none"/>
              </w:rPr>
            </w:pPr>
            <w:r>
              <w:rPr>
                <w:rFonts w:hint="eastAsia" w:ascii="仿宋_GB2312" w:hAnsi="仿宋_GB2312" w:eastAsia="仿宋_GB2312" w:cs="仿宋_GB2312"/>
                <w:b/>
                <w:sz w:val="24"/>
                <w:u w:val="none"/>
              </w:rPr>
              <w:t>要求</w:t>
            </w:r>
          </w:p>
        </w:tc>
      </w:tr>
      <w:tr w14:paraId="7E01F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9" w:hRule="atLeast"/>
        </w:trPr>
        <w:tc>
          <w:tcPr>
            <w:tcW w:w="1370" w:type="dxa"/>
            <w:tcBorders>
              <w:top w:val="single" w:color="auto" w:sz="4" w:space="0"/>
              <w:left w:val="single" w:color="auto" w:sz="4" w:space="0"/>
              <w:bottom w:val="single" w:color="auto" w:sz="4" w:space="0"/>
              <w:right w:val="single" w:color="auto" w:sz="4" w:space="0"/>
            </w:tcBorders>
            <w:vAlign w:val="center"/>
          </w:tcPr>
          <w:p w14:paraId="6A32F50B">
            <w:r>
              <w:rPr>
                <w:rFonts w:hint="eastAsia" w:ascii="仿宋_GB2312" w:hAnsi="宋体" w:cs="宋体"/>
                <w:bCs/>
                <w:kern w:val="0"/>
                <w:sz w:val="24"/>
                <w:u w:val="none"/>
                <w:lang w:val="en-US" w:eastAsia="zh-CN"/>
              </w:rPr>
              <w:t>高效绿色种养</w:t>
            </w:r>
          </w:p>
          <w:p w14:paraId="607A53F6"/>
          <w:p w14:paraId="311123E6">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仿宋_GB2312" w:hAnsi="宋体" w:eastAsia="仿宋_GB2312" w:cs="宋体"/>
                <w:bCs/>
                <w:kern w:val="0"/>
                <w:sz w:val="24"/>
                <w:u w:val="none"/>
              </w:rPr>
            </w:pPr>
          </w:p>
        </w:tc>
        <w:tc>
          <w:tcPr>
            <w:tcW w:w="1314" w:type="dxa"/>
            <w:tcBorders>
              <w:top w:val="single" w:color="auto" w:sz="4" w:space="0"/>
              <w:left w:val="single" w:color="auto" w:sz="4" w:space="0"/>
              <w:bottom w:val="single" w:color="auto" w:sz="4" w:space="0"/>
              <w:right w:val="single" w:color="auto" w:sz="4" w:space="0"/>
            </w:tcBorders>
            <w:vAlign w:val="center"/>
          </w:tcPr>
          <w:p w14:paraId="504806B9">
            <w:r>
              <w:rPr>
                <w:rFonts w:hint="eastAsia" w:ascii="仿宋_GB2312" w:hAnsi="宋体" w:eastAsia="仿宋_GB2312" w:cs="宋体"/>
                <w:bCs/>
                <w:kern w:val="0"/>
                <w:sz w:val="24"/>
                <w:u w:val="none"/>
                <w:lang w:val="en-US" w:eastAsia="zh-CN"/>
              </w:rPr>
              <w:t>福建大黄鱼、花鲈等海水品种在宁夏盐碱地区养殖驯化关键技术研究及示范推广</w:t>
            </w:r>
          </w:p>
          <w:p w14:paraId="0B73E6A4">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仿宋_GB2312" w:eastAsia="仿宋_GB2312"/>
                <w:sz w:val="24"/>
                <w:u w:val="none"/>
              </w:rPr>
            </w:pPr>
          </w:p>
        </w:tc>
        <w:tc>
          <w:tcPr>
            <w:tcW w:w="3742" w:type="dxa"/>
            <w:tcBorders>
              <w:top w:val="single" w:color="auto" w:sz="4" w:space="0"/>
              <w:left w:val="single" w:color="auto" w:sz="4" w:space="0"/>
              <w:bottom w:val="single" w:color="auto" w:sz="4" w:space="0"/>
              <w:right w:val="single" w:color="auto" w:sz="4" w:space="0"/>
            </w:tcBorders>
            <w:vAlign w:val="center"/>
          </w:tcPr>
          <w:p w14:paraId="2A479FC2">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514" w:firstLineChars="200"/>
              <w:jc w:val="left"/>
              <w:textAlignment w:val="auto"/>
              <w:rPr>
                <w:rFonts w:hint="eastAsia" w:ascii="仿宋_GB2312" w:hAnsi="仿宋_GB2312" w:eastAsia="仿宋_GB2312" w:cs="仿宋_GB2312"/>
                <w:sz w:val="24"/>
                <w:u w:val="none"/>
                <w:lang w:val="en-US" w:eastAsia="zh-CN"/>
              </w:rPr>
            </w:pPr>
            <w:r>
              <w:rPr>
                <w:rFonts w:hint="eastAsia" w:ascii="仿宋_GB2312" w:hAnsi="仿宋_GB2312" w:eastAsia="仿宋_GB2312" w:cs="仿宋_GB2312"/>
                <w:sz w:val="24"/>
                <w:u w:val="none"/>
                <w:lang w:val="en-US" w:eastAsia="zh-CN"/>
              </w:rPr>
              <w:t>聚焦大黄鱼、花鲈等海水品种内陆养殖技术壁垒，依托闽宁协作推进海鱼陆养，构建在宁夏盐碱水条件下，高效、稳定的海水鱼类品种工厂化循环养殖技术体系。</w:t>
            </w:r>
          </w:p>
          <w:p w14:paraId="2B060CDA">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514" w:firstLineChars="200"/>
              <w:jc w:val="left"/>
              <w:textAlignment w:val="auto"/>
              <w:rPr>
                <w:rFonts w:hint="default" w:ascii="仿宋_GB2312" w:hAnsi="仿宋_GB2312" w:eastAsia="仿宋_GB2312" w:cs="仿宋_GB2312"/>
                <w:b/>
                <w:bCs/>
                <w:sz w:val="24"/>
                <w:u w:val="none"/>
                <w:lang w:val="en-US" w:eastAsia="zh-CN"/>
              </w:rPr>
            </w:pPr>
            <w:r>
              <w:rPr>
                <w:rFonts w:hint="eastAsia" w:ascii="仿宋_GB2312" w:hAnsi="仿宋_GB2312" w:eastAsia="仿宋_GB2312" w:cs="仿宋_GB2312"/>
                <w:b/>
                <w:bCs/>
                <w:sz w:val="24"/>
                <w:u w:val="none"/>
                <w:lang w:val="en-US" w:eastAsia="zh-CN"/>
              </w:rPr>
              <w:t>一、主要研发内容</w:t>
            </w:r>
          </w:p>
          <w:p w14:paraId="07EDB984">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514" w:firstLineChars="200"/>
              <w:jc w:val="left"/>
              <w:textAlignment w:val="auto"/>
              <w:rPr>
                <w:rFonts w:hint="default"/>
                <w:sz w:val="24"/>
                <w:u w:val="none"/>
                <w:lang w:val="en-US"/>
              </w:rPr>
            </w:pPr>
            <w:r>
              <w:rPr>
                <w:rFonts w:hint="eastAsia" w:ascii="仿宋_GB2312" w:hAnsi="仿宋_GB2312" w:eastAsia="仿宋_GB2312" w:cs="仿宋_GB2312"/>
                <w:sz w:val="24"/>
                <w:u w:val="none"/>
                <w:lang w:val="en-US" w:eastAsia="zh-CN"/>
              </w:rPr>
              <w:t>构建“养殖环境评价—驯化机制—苗种繁育—养殖模式—病害防控—示范推广”完整技术链条。开展在宁夏盐碱地区开展养殖水环境评价及调控、大黄鱼和花鲈耐盐碱适应驯化、宁夏盐碱水大黄鱼和花鲈苗种繁育探究 、养殖饲料营养研究、鲈养殖病害防控、养殖尾水处理及多层级应用、宁夏盐碱水大黄鱼和花鲈养殖技术示范、培训及推广等。</w:t>
            </w:r>
          </w:p>
          <w:p w14:paraId="16581328">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514" w:firstLineChars="200"/>
              <w:jc w:val="both"/>
              <w:textAlignment w:val="auto"/>
              <w:rPr>
                <w:rFonts w:hint="default" w:ascii="仿宋_GB2312" w:hAnsi="仿宋_GB2312" w:eastAsia="仿宋_GB2312" w:cs="仿宋_GB2312"/>
                <w:b/>
                <w:bCs/>
                <w:sz w:val="24"/>
                <w:u w:val="none"/>
                <w:lang w:val="en-US" w:eastAsia="zh-CN"/>
              </w:rPr>
            </w:pPr>
            <w:r>
              <w:rPr>
                <w:rFonts w:hint="eastAsia" w:ascii="仿宋_GB2312" w:hAnsi="仿宋_GB2312" w:eastAsia="仿宋_GB2312" w:cs="仿宋_GB2312"/>
                <w:b/>
                <w:bCs/>
                <w:sz w:val="24"/>
                <w:u w:val="none"/>
                <w:lang w:val="en-US" w:eastAsia="zh-CN"/>
              </w:rPr>
              <w:t>二、预期技术目标</w:t>
            </w:r>
          </w:p>
          <w:p w14:paraId="1828FF42">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514" w:firstLineChars="200"/>
              <w:jc w:val="both"/>
              <w:textAlignment w:val="auto"/>
              <w:rPr>
                <w:rFonts w:hint="eastAsia" w:ascii="仿宋_GB2312" w:hAnsi="仿宋_GB2312" w:eastAsia="仿宋_GB2312" w:cs="仿宋_GB2312"/>
                <w:sz w:val="24"/>
                <w:u w:val="none"/>
                <w:lang w:val="en-US" w:eastAsia="zh-CN"/>
              </w:rPr>
            </w:pPr>
            <w:r>
              <w:rPr>
                <w:rFonts w:hint="eastAsia" w:ascii="仿宋_GB2312" w:hAnsi="仿宋_GB2312" w:eastAsia="仿宋_GB2312" w:cs="仿宋_GB2312"/>
                <w:sz w:val="24"/>
                <w:u w:val="none"/>
                <w:lang w:val="en-US" w:eastAsia="zh-CN"/>
              </w:rPr>
              <w:t>开展宁夏盐碱水大黄鱼和花鲈养殖示范推广，其中大黄鱼从体重1g养成至50g以上12万尾，花鲈从体重1g养成至50g以上10万尾，养殖成活率30%以上；建立宁夏盐碱水大黄鱼和花鲈种质资源库，养成并保活体重1kg以上的大黄鱼和花鲈各2000尾；开展宁夏盐碱水大黄鱼和花鲈苗种繁育技术研究，实现苗种规模化生产；制定宁夏盐碱水大黄鱼和花鲈养殖技术规程1套；开展宁夏盐碱水大黄鱼和花鲈养殖示范推广，推动养殖产业化；养殖尾水排放符合福建省地方标准《水产养殖尾水排放标准》（DB35/2160-2023）中规定的总氮≤3.0mg/L，总磷≤0.5mg/L和化学需氧量≤10.0mg/L；申请发明专利3项，技术标准3项，发表科研论文5篇，培养研究生3名等。</w:t>
            </w:r>
          </w:p>
          <w:p w14:paraId="35EEE314">
            <w:pPr>
              <w:keepNext w:val="0"/>
              <w:keepLines w:val="0"/>
              <w:pageBreakBefore w:val="0"/>
              <w:widowControl w:val="0"/>
              <w:numPr>
                <w:ilvl w:val="0"/>
                <w:numId w:val="6"/>
              </w:numPr>
              <w:kinsoku/>
              <w:wordWrap/>
              <w:overflowPunct/>
              <w:topLinePunct w:val="0"/>
              <w:autoSpaceDE/>
              <w:autoSpaceDN/>
              <w:bidi w:val="0"/>
              <w:adjustRightInd/>
              <w:snapToGrid/>
              <w:spacing w:line="400" w:lineRule="exact"/>
              <w:ind w:firstLine="514" w:firstLineChars="200"/>
              <w:jc w:val="both"/>
              <w:textAlignment w:val="auto"/>
              <w:rPr>
                <w:rFonts w:hint="eastAsia" w:ascii="仿宋_GB2312" w:hAnsi="仿宋_GB2312" w:eastAsia="仿宋_GB2312" w:cs="仿宋_GB2312"/>
                <w:b/>
                <w:bCs/>
                <w:sz w:val="24"/>
                <w:u w:val="none"/>
                <w:lang w:val="en-US" w:eastAsia="zh-CN"/>
              </w:rPr>
            </w:pPr>
            <w:r>
              <w:rPr>
                <w:rFonts w:hint="eastAsia" w:ascii="仿宋_GB2312" w:hAnsi="仿宋_GB2312" w:eastAsia="仿宋_GB2312" w:cs="仿宋_GB2312"/>
                <w:b/>
                <w:bCs/>
                <w:sz w:val="24"/>
                <w:u w:val="none"/>
                <w:lang w:val="en-US" w:eastAsia="zh-CN"/>
              </w:rPr>
              <w:t>预期经济社会效益</w:t>
            </w:r>
          </w:p>
          <w:p w14:paraId="66149510">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eastAsia" w:ascii="仿宋_GB2312" w:eastAsia="仿宋_GB2312"/>
                <w:sz w:val="24"/>
                <w:u w:val="none"/>
              </w:rPr>
            </w:pPr>
            <w:r>
              <w:rPr>
                <w:rFonts w:hint="eastAsia" w:ascii="仿宋_GB2312" w:hAnsi="仿宋_GB2312" w:eastAsia="仿宋_GB2312" w:cs="仿宋_GB2312"/>
                <w:sz w:val="24"/>
                <w:u w:val="none"/>
                <w:lang w:val="en-US" w:eastAsia="zh-CN"/>
              </w:rPr>
              <w:t xml:space="preserve">    </w:t>
            </w:r>
            <w:r>
              <w:rPr>
                <w:rFonts w:hint="default" w:ascii="仿宋_GB2312" w:hAnsi="仿宋_GB2312" w:eastAsia="仿宋_GB2312" w:cs="仿宋_GB2312"/>
                <w:sz w:val="24"/>
                <w:u w:val="none"/>
                <w:lang w:val="en-US" w:eastAsia="zh-CN"/>
              </w:rPr>
              <w:t>实现利润400万元以上</w:t>
            </w:r>
            <w:r>
              <w:rPr>
                <w:rFonts w:hint="eastAsia" w:ascii="仿宋_GB2312" w:hAnsi="仿宋_GB2312" w:eastAsia="仿宋_GB2312" w:cs="仿宋_GB2312"/>
                <w:sz w:val="24"/>
                <w:u w:val="none"/>
                <w:lang w:val="en-US" w:eastAsia="zh-CN"/>
              </w:rPr>
              <w:t>。延伸福建海洋渔业产业链，缓解沿海养殖空间饱和压力；带动宁夏渔业产业升级，助力乡村振兴；向内陆盐碱水土拓展食物产能，丰富优质水产品供给；实现盐碱地"以渔治碱、水土共治"，为全国盐碱渔业提供福建技术样板。</w:t>
            </w:r>
          </w:p>
        </w:tc>
        <w:tc>
          <w:tcPr>
            <w:tcW w:w="1447" w:type="dxa"/>
            <w:tcBorders>
              <w:top w:val="single" w:color="auto" w:sz="4" w:space="0"/>
              <w:left w:val="single" w:color="auto" w:sz="4" w:space="0"/>
              <w:bottom w:val="single" w:color="auto" w:sz="4" w:space="0"/>
              <w:right w:val="single" w:color="auto" w:sz="4" w:space="0"/>
            </w:tcBorders>
            <w:vAlign w:val="center"/>
          </w:tcPr>
          <w:p w14:paraId="6F84796A">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仿宋_GB2312" w:eastAsia="仿宋_GB2312"/>
                <w:sz w:val="24"/>
                <w:u w:val="none"/>
                <w:lang w:eastAsia="zh-CN"/>
              </w:rPr>
            </w:pPr>
            <w:r>
              <w:rPr>
                <w:rFonts w:hint="eastAsia" w:ascii="仿宋_GB2312" w:eastAsia="仿宋_GB2312"/>
                <w:sz w:val="24"/>
                <w:u w:val="none"/>
                <w:lang w:val="en-US" w:eastAsia="zh-CN"/>
              </w:rPr>
              <w:t>400</w:t>
            </w:r>
          </w:p>
        </w:tc>
        <w:tc>
          <w:tcPr>
            <w:tcW w:w="1556" w:type="dxa"/>
            <w:tcBorders>
              <w:top w:val="single" w:color="auto" w:sz="4" w:space="0"/>
              <w:left w:val="single" w:color="auto" w:sz="4" w:space="0"/>
              <w:bottom w:val="single" w:color="auto" w:sz="4" w:space="0"/>
              <w:right w:val="single" w:color="auto" w:sz="4" w:space="0"/>
            </w:tcBorders>
            <w:vAlign w:val="center"/>
          </w:tcPr>
          <w:p w14:paraId="240E1E1A"/>
          <w:p w14:paraId="09D099FD"/>
          <w:p w14:paraId="0AA467FB">
            <w:r>
              <w:rPr>
                <w:rFonts w:hint="eastAsia" w:ascii="仿宋_GB2312" w:hAnsi="宋体" w:eastAsia="仿宋_GB2312" w:cs="宋体"/>
                <w:bCs/>
                <w:kern w:val="0"/>
                <w:sz w:val="24"/>
                <w:u w:val="none"/>
              </w:rPr>
              <w:t>申报单位须对本专题的整体研发内容和目标进行申报</w:t>
            </w:r>
          </w:p>
          <w:p w14:paraId="422ACC68"/>
          <w:p w14:paraId="2A88ACBB"/>
          <w:p w14:paraId="1E6C25AF"/>
          <w:p w14:paraId="2AC7E94E"/>
          <w:p w14:paraId="30537216"/>
          <w:p w14:paraId="3D282923"/>
          <w:p w14:paraId="02875EB4"/>
          <w:p w14:paraId="0B4E7345"/>
          <w:p w14:paraId="6D18073C"/>
          <w:p w14:paraId="3E12E27F"/>
          <w:p w14:paraId="7E560CF7">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仿宋_GB2312" w:eastAsia="仿宋_GB2312"/>
                <w:sz w:val="24"/>
                <w:u w:val="none"/>
              </w:rPr>
            </w:pPr>
          </w:p>
        </w:tc>
      </w:tr>
    </w:tbl>
    <w:p w14:paraId="2A6FC818">
      <w:pPr>
        <w:rPr>
          <w:rFonts w:hint="default"/>
          <w:u w:val="none"/>
          <w:lang w:val="en-US" w:eastAsia="zh-CN"/>
        </w:rPr>
      </w:pPr>
    </w:p>
    <w:p w14:paraId="79E38F45">
      <w:pPr>
        <w:rPr>
          <w:rFonts w:hint="default"/>
          <w:u w:val="none"/>
          <w:lang w:val="en-US" w:eastAsia="zh-CN"/>
        </w:rPr>
      </w:pPr>
    </w:p>
    <w:p w14:paraId="13BF3BC8">
      <w:pPr>
        <w:pStyle w:val="2"/>
        <w:rPr>
          <w:rFonts w:hint="default"/>
          <w:u w:val="none"/>
          <w:lang w:val="en-US" w:eastAsia="zh-CN"/>
        </w:rPr>
      </w:pPr>
    </w:p>
    <w:p w14:paraId="04AB4F05">
      <w:pPr>
        <w:jc w:val="center"/>
        <w:rPr>
          <w:rFonts w:hint="eastAsia" w:ascii="黑体" w:hAnsi="黑体" w:eastAsia="黑体" w:cs="黑体"/>
          <w:sz w:val="32"/>
          <w:szCs w:val="32"/>
          <w:u w:val="none"/>
        </w:rPr>
      </w:pPr>
    </w:p>
    <w:p w14:paraId="12DCD81B">
      <w:pPr>
        <w:jc w:val="center"/>
        <w:rPr>
          <w:rFonts w:hint="eastAsia" w:ascii="黑体" w:hAnsi="黑体" w:eastAsia="黑体" w:cs="黑体"/>
          <w:sz w:val="32"/>
          <w:szCs w:val="32"/>
          <w:u w:val="none"/>
        </w:rPr>
      </w:pPr>
    </w:p>
    <w:p w14:paraId="306783DF">
      <w:pPr>
        <w:jc w:val="center"/>
        <w:rPr>
          <w:rFonts w:hint="default" w:ascii="黑体" w:hAnsi="黑体" w:eastAsia="黑体" w:cs="黑体"/>
          <w:sz w:val="32"/>
          <w:szCs w:val="32"/>
          <w:u w:val="none"/>
          <w:lang w:val="en-US" w:eastAsia="zh-CN"/>
        </w:rPr>
      </w:pPr>
      <w:r>
        <w:rPr>
          <w:rFonts w:hint="eastAsia" w:ascii="黑体" w:hAnsi="黑体" w:eastAsia="黑体" w:cs="黑体"/>
          <w:sz w:val="32"/>
          <w:szCs w:val="32"/>
          <w:u w:val="none"/>
        </w:rPr>
        <w:t>科技重大专项申报选题表（</w:t>
      </w:r>
      <w:r>
        <w:rPr>
          <w:rFonts w:hint="eastAsia" w:ascii="黑体" w:hAnsi="黑体" w:eastAsia="黑体" w:cs="黑体"/>
          <w:sz w:val="32"/>
          <w:szCs w:val="32"/>
          <w:u w:val="none"/>
          <w:lang w:eastAsia="zh-CN"/>
        </w:rPr>
        <w:t>七</w:t>
      </w:r>
      <w:r>
        <w:rPr>
          <w:rFonts w:hint="eastAsia" w:ascii="黑体" w:hAnsi="黑体" w:eastAsia="黑体" w:cs="黑体"/>
          <w:sz w:val="32"/>
          <w:szCs w:val="32"/>
          <w:u w:val="none"/>
        </w:rPr>
        <w:t>）指南代码</w:t>
      </w:r>
      <w:r>
        <w:rPr>
          <w:rFonts w:ascii="黑体" w:hAnsi="黑体" w:eastAsia="黑体" w:cs="黑体"/>
          <w:sz w:val="32"/>
          <w:szCs w:val="32"/>
          <w:u w:val="none"/>
        </w:rPr>
        <w:t>202</w:t>
      </w:r>
      <w:r>
        <w:rPr>
          <w:rFonts w:hint="eastAsia" w:ascii="黑体" w:hAnsi="黑体" w:eastAsia="黑体" w:cs="黑体"/>
          <w:sz w:val="32"/>
          <w:szCs w:val="32"/>
          <w:u w:val="none"/>
          <w:lang w:val="en-US" w:eastAsia="zh-CN"/>
        </w:rPr>
        <w:t>6NZ0102</w:t>
      </w:r>
    </w:p>
    <w:tbl>
      <w:tblPr>
        <w:tblStyle w:val="12"/>
        <w:tblW w:w="9429" w:type="dxa"/>
        <w:tblInd w:w="-1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70"/>
        <w:gridCol w:w="1314"/>
        <w:gridCol w:w="3742"/>
        <w:gridCol w:w="1447"/>
        <w:gridCol w:w="1556"/>
      </w:tblGrid>
      <w:tr w14:paraId="5CBE3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9" w:hRule="atLeast"/>
        </w:trPr>
        <w:tc>
          <w:tcPr>
            <w:tcW w:w="1370" w:type="dxa"/>
            <w:tcBorders>
              <w:top w:val="single" w:color="auto" w:sz="4" w:space="0"/>
              <w:left w:val="single" w:color="auto" w:sz="4" w:space="0"/>
              <w:bottom w:val="single" w:color="auto" w:sz="4" w:space="0"/>
              <w:right w:val="single" w:color="auto" w:sz="4" w:space="0"/>
            </w:tcBorders>
            <w:vAlign w:val="center"/>
          </w:tcPr>
          <w:p w14:paraId="2C99B1A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bCs/>
                <w:kern w:val="0"/>
                <w:sz w:val="24"/>
                <w:u w:val="none"/>
              </w:rPr>
            </w:pPr>
            <w:r>
              <w:rPr>
                <w:rFonts w:hint="eastAsia" w:ascii="黑体" w:hAnsi="黑体" w:eastAsia="黑体" w:cs="黑体"/>
                <w:bCs/>
                <w:kern w:val="0"/>
                <w:sz w:val="24"/>
                <w:u w:val="none"/>
              </w:rPr>
              <w:t>所属重大专项名称</w:t>
            </w:r>
          </w:p>
        </w:tc>
        <w:tc>
          <w:tcPr>
            <w:tcW w:w="1314" w:type="dxa"/>
            <w:tcBorders>
              <w:top w:val="single" w:color="auto" w:sz="4" w:space="0"/>
              <w:left w:val="single" w:color="auto" w:sz="4" w:space="0"/>
              <w:bottom w:val="single" w:color="auto" w:sz="4" w:space="0"/>
              <w:right w:val="single" w:color="auto" w:sz="4" w:space="0"/>
            </w:tcBorders>
            <w:vAlign w:val="center"/>
          </w:tcPr>
          <w:p w14:paraId="51BA6AF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sz w:val="24"/>
                <w:u w:val="none"/>
              </w:rPr>
            </w:pPr>
            <w:r>
              <w:rPr>
                <w:rFonts w:hint="eastAsia" w:ascii="黑体" w:hAnsi="黑体" w:eastAsia="黑体" w:cs="黑体"/>
                <w:sz w:val="24"/>
                <w:u w:val="none"/>
              </w:rPr>
              <w:t>选题</w:t>
            </w:r>
          </w:p>
          <w:p w14:paraId="6DDDAE7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sz w:val="24"/>
                <w:u w:val="none"/>
              </w:rPr>
            </w:pPr>
            <w:r>
              <w:rPr>
                <w:rFonts w:hint="eastAsia" w:ascii="黑体" w:hAnsi="黑体" w:eastAsia="黑体" w:cs="黑体"/>
                <w:sz w:val="24"/>
                <w:u w:val="none"/>
              </w:rPr>
              <w:t>方向</w:t>
            </w:r>
          </w:p>
        </w:tc>
        <w:tc>
          <w:tcPr>
            <w:tcW w:w="3742" w:type="dxa"/>
            <w:tcBorders>
              <w:top w:val="single" w:color="auto" w:sz="4" w:space="0"/>
              <w:left w:val="single" w:color="auto" w:sz="4" w:space="0"/>
              <w:bottom w:val="single" w:color="auto" w:sz="4" w:space="0"/>
              <w:right w:val="single" w:color="auto" w:sz="4" w:space="0"/>
            </w:tcBorders>
            <w:vAlign w:val="center"/>
          </w:tcPr>
          <w:p w14:paraId="575D3F8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sz w:val="24"/>
                <w:u w:val="none"/>
              </w:rPr>
            </w:pPr>
            <w:r>
              <w:rPr>
                <w:rFonts w:hint="eastAsia" w:ascii="黑体" w:hAnsi="黑体" w:eastAsia="黑体" w:cs="黑体"/>
                <w:sz w:val="24"/>
                <w:u w:val="none"/>
              </w:rPr>
              <w:t>选题方向重点内容</w:t>
            </w:r>
          </w:p>
        </w:tc>
        <w:tc>
          <w:tcPr>
            <w:tcW w:w="1447" w:type="dxa"/>
            <w:tcBorders>
              <w:top w:val="single" w:color="auto" w:sz="4" w:space="0"/>
              <w:left w:val="single" w:color="auto" w:sz="4" w:space="0"/>
              <w:bottom w:val="single" w:color="auto" w:sz="4" w:space="0"/>
              <w:right w:val="single" w:color="auto" w:sz="4" w:space="0"/>
            </w:tcBorders>
            <w:vAlign w:val="center"/>
          </w:tcPr>
          <w:p w14:paraId="66F4708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sz w:val="24"/>
                <w:u w:val="none"/>
              </w:rPr>
            </w:pPr>
            <w:r>
              <w:rPr>
                <w:rFonts w:hint="eastAsia" w:ascii="黑体" w:hAnsi="黑体" w:eastAsia="黑体" w:cs="黑体"/>
                <w:sz w:val="24"/>
                <w:u w:val="none"/>
                <w:lang w:eastAsia="zh-CN"/>
              </w:rPr>
              <w:t>最高</w:t>
            </w:r>
            <w:r>
              <w:rPr>
                <w:rFonts w:hint="eastAsia" w:ascii="黑体" w:hAnsi="黑体" w:eastAsia="黑体" w:cs="黑体"/>
                <w:sz w:val="24"/>
                <w:u w:val="none"/>
              </w:rPr>
              <w:t>申请资助经费</w:t>
            </w:r>
          </w:p>
          <w:p w14:paraId="6242F34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sz w:val="24"/>
                <w:u w:val="none"/>
              </w:rPr>
            </w:pPr>
            <w:r>
              <w:rPr>
                <w:rFonts w:hint="eastAsia" w:ascii="黑体" w:hAnsi="黑体" w:eastAsia="黑体" w:cs="黑体"/>
                <w:sz w:val="24"/>
                <w:u w:val="none"/>
              </w:rPr>
              <w:t>（万元）</w:t>
            </w:r>
          </w:p>
        </w:tc>
        <w:tc>
          <w:tcPr>
            <w:tcW w:w="1556" w:type="dxa"/>
            <w:tcBorders>
              <w:top w:val="single" w:color="auto" w:sz="4" w:space="0"/>
              <w:left w:val="single" w:color="auto" w:sz="4" w:space="0"/>
              <w:bottom w:val="single" w:color="auto" w:sz="4" w:space="0"/>
              <w:right w:val="single" w:color="auto" w:sz="4" w:space="0"/>
            </w:tcBorders>
            <w:vAlign w:val="center"/>
          </w:tcPr>
          <w:p w14:paraId="71EE24C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sz w:val="24"/>
                <w:u w:val="none"/>
              </w:rPr>
            </w:pPr>
            <w:r>
              <w:rPr>
                <w:rFonts w:hint="eastAsia" w:ascii="仿宋_GB2312" w:hAnsi="仿宋_GB2312" w:eastAsia="仿宋_GB2312" w:cs="仿宋_GB2312"/>
                <w:b/>
                <w:sz w:val="24"/>
                <w:u w:val="none"/>
              </w:rPr>
              <w:t>要求</w:t>
            </w:r>
          </w:p>
        </w:tc>
      </w:tr>
      <w:tr w14:paraId="4DB46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9" w:hRule="atLeast"/>
        </w:trPr>
        <w:tc>
          <w:tcPr>
            <w:tcW w:w="1370" w:type="dxa"/>
            <w:tcBorders>
              <w:top w:val="single" w:color="auto" w:sz="4" w:space="0"/>
              <w:left w:val="single" w:color="auto" w:sz="4" w:space="0"/>
              <w:bottom w:val="single" w:color="auto" w:sz="4" w:space="0"/>
              <w:right w:val="single" w:color="auto" w:sz="4" w:space="0"/>
            </w:tcBorders>
            <w:vAlign w:val="center"/>
          </w:tcPr>
          <w:p w14:paraId="1FA7F451">
            <w:r>
              <w:rPr>
                <w:rFonts w:hint="eastAsia" w:ascii="仿宋_GB2312" w:hAnsi="宋体" w:eastAsia="仿宋_GB2312" w:cs="宋体"/>
                <w:bCs/>
                <w:kern w:val="0"/>
                <w:sz w:val="24"/>
                <w:u w:val="none"/>
                <w:lang w:val="en-US" w:eastAsia="zh-CN"/>
              </w:rPr>
              <w:t>智慧农业</w:t>
            </w:r>
          </w:p>
          <w:p w14:paraId="539FB4C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宋体" w:cs="宋体"/>
                <w:bCs/>
                <w:kern w:val="0"/>
                <w:sz w:val="24"/>
                <w:u w:val="none"/>
                <w:lang w:eastAsia="zh-CN"/>
              </w:rPr>
            </w:pPr>
            <w:r>
              <w:rPr>
                <w:rFonts w:hint="eastAsia" w:ascii="仿宋_GB2312" w:hAnsi="宋体" w:cs="宋体"/>
                <w:bCs/>
                <w:kern w:val="0"/>
                <w:sz w:val="24"/>
                <w:u w:val="none"/>
                <w:lang w:eastAsia="zh-CN"/>
              </w:rPr>
              <w:t>与农机</w:t>
            </w:r>
          </w:p>
          <w:p w14:paraId="582F247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宋体" w:eastAsia="仿宋_GB2312" w:cs="宋体"/>
                <w:bCs/>
                <w:kern w:val="0"/>
                <w:sz w:val="24"/>
                <w:u w:val="none"/>
                <w:lang w:eastAsia="zh-CN"/>
              </w:rPr>
            </w:pPr>
            <w:r>
              <w:rPr>
                <w:rFonts w:hint="eastAsia" w:ascii="仿宋_GB2312" w:hAnsi="宋体" w:cs="宋体"/>
                <w:bCs/>
                <w:kern w:val="0"/>
                <w:sz w:val="24"/>
                <w:u w:val="none"/>
                <w:lang w:eastAsia="zh-CN"/>
              </w:rPr>
              <w:t>装备</w:t>
            </w:r>
          </w:p>
        </w:tc>
        <w:tc>
          <w:tcPr>
            <w:tcW w:w="1314" w:type="dxa"/>
            <w:tcBorders>
              <w:top w:val="single" w:color="auto" w:sz="4" w:space="0"/>
              <w:left w:val="single" w:color="auto" w:sz="4" w:space="0"/>
              <w:bottom w:val="single" w:color="auto" w:sz="4" w:space="0"/>
              <w:right w:val="single" w:color="auto" w:sz="4" w:space="0"/>
            </w:tcBorders>
            <w:vAlign w:val="center"/>
          </w:tcPr>
          <w:p w14:paraId="2889270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eastAsia="仿宋_GB2312"/>
                <w:sz w:val="24"/>
                <w:u w:val="none"/>
              </w:rPr>
            </w:pPr>
            <w:r>
              <w:rPr>
                <w:rFonts w:hint="eastAsia" w:ascii="仿宋_GB2312" w:hAnsi="宋体" w:eastAsia="仿宋_GB2312" w:cs="宋体"/>
                <w:bCs/>
                <w:kern w:val="0"/>
                <w:sz w:val="24"/>
                <w:u w:val="none"/>
                <w:lang w:val="en-US" w:eastAsia="zh-CN"/>
              </w:rPr>
              <w:t>东南山地—滨海亚热带农林重大有害生物多模态监测预警专用大模型构建、集成示范与绿色防控（</w:t>
            </w:r>
            <w:r>
              <w:rPr>
                <w:rFonts w:hint="eastAsia" w:ascii="仿宋_GB2312" w:hAnsi="仿宋_GB2312" w:eastAsia="仿宋_GB2312" w:cs="仿宋_GB2312"/>
                <w:sz w:val="24"/>
                <w:u w:val="none"/>
                <w:lang w:val="en-US" w:eastAsia="zh-CN"/>
              </w:rPr>
              <w:t>松材线虫、互花米草</w:t>
            </w:r>
            <w:r>
              <w:rPr>
                <w:rFonts w:hint="eastAsia" w:ascii="仿宋_GB2312" w:hAnsi="宋体" w:eastAsia="仿宋_GB2312" w:cs="宋体"/>
                <w:bCs/>
                <w:kern w:val="0"/>
                <w:sz w:val="24"/>
                <w:u w:val="none"/>
                <w:lang w:val="en-US" w:eastAsia="zh-CN"/>
              </w:rPr>
              <w:t>）</w:t>
            </w:r>
          </w:p>
        </w:tc>
        <w:tc>
          <w:tcPr>
            <w:tcW w:w="3742" w:type="dxa"/>
            <w:tcBorders>
              <w:top w:val="single" w:color="auto" w:sz="4" w:space="0"/>
              <w:left w:val="single" w:color="auto" w:sz="4" w:space="0"/>
              <w:bottom w:val="single" w:color="auto" w:sz="4" w:space="0"/>
              <w:right w:val="single" w:color="auto" w:sz="4" w:space="0"/>
            </w:tcBorders>
            <w:vAlign w:val="center"/>
          </w:tcPr>
          <w:p w14:paraId="5944A147">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hint="eastAsia" w:ascii="仿宋_GB2312" w:hAnsi="仿宋_GB2312" w:eastAsia="仿宋_GB2312" w:cs="仿宋_GB2312"/>
                <w:b/>
                <w:bCs w:val="0"/>
                <w:sz w:val="24"/>
                <w:szCs w:val="24"/>
                <w:u w:val="none"/>
                <w:lang w:val="en-US" w:eastAsia="zh-CN"/>
              </w:rPr>
            </w:pPr>
            <w:r>
              <w:rPr>
                <w:rFonts w:hint="eastAsia" w:ascii="仿宋_GB2312" w:hAnsi="宋体" w:eastAsia="仿宋_GB2312" w:cs="宋体"/>
                <w:b/>
                <w:bCs w:val="0"/>
                <w:kern w:val="0"/>
                <w:sz w:val="24"/>
                <w:u w:val="none"/>
                <w:lang w:val="en-US" w:eastAsia="zh-CN"/>
              </w:rPr>
              <w:t xml:space="preserve">   </w:t>
            </w:r>
            <w:r>
              <w:rPr>
                <w:rFonts w:hint="eastAsia" w:ascii="仿宋_GB2312" w:hAnsi="仿宋_GB2312" w:eastAsia="仿宋_GB2312" w:cs="仿宋_GB2312"/>
                <w:b/>
                <w:bCs w:val="0"/>
                <w:sz w:val="24"/>
                <w:u w:val="none"/>
                <w:lang w:val="en-US" w:eastAsia="zh-CN"/>
              </w:rPr>
              <w:t xml:space="preserve"> </w:t>
            </w:r>
            <w:r>
              <w:rPr>
                <w:rFonts w:hint="eastAsia" w:ascii="仿宋_GB2312" w:hAnsi="仿宋_GB2312" w:eastAsia="仿宋_GB2312" w:cs="仿宋_GB2312"/>
                <w:b/>
                <w:bCs w:val="0"/>
                <w:sz w:val="24"/>
                <w:szCs w:val="24"/>
                <w:u w:val="none"/>
                <w:lang w:val="en-US" w:eastAsia="zh-CN"/>
              </w:rPr>
              <w:t>一、技术难题</w:t>
            </w:r>
          </w:p>
          <w:p w14:paraId="356D2B85">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hint="eastAsia" w:ascii="仿宋_GB2312" w:hAnsi="仿宋_GB2312" w:eastAsia="仿宋_GB2312" w:cs="仿宋_GB2312"/>
                <w:sz w:val="24"/>
                <w:szCs w:val="24"/>
                <w:u w:val="none"/>
                <w:lang w:val="en-US" w:eastAsia="zh-CN"/>
              </w:rPr>
            </w:pPr>
            <w:r>
              <w:rPr>
                <w:rFonts w:hint="eastAsia" w:ascii="仿宋_GB2312" w:hAnsi="仿宋_GB2312" w:eastAsia="仿宋_GB2312" w:cs="仿宋_GB2312"/>
                <w:sz w:val="24"/>
                <w:szCs w:val="24"/>
                <w:u w:val="none"/>
                <w:lang w:val="en-US" w:eastAsia="zh-CN"/>
              </w:rPr>
              <w:t xml:space="preserve">    传统监测和预警能力不足，覆盖有限、时效滞后；相关垂直领域专用大模型缺失；绿色防控手段匮乏且防治脱节。    </w:t>
            </w:r>
          </w:p>
          <w:p w14:paraId="2FC1A383">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hint="eastAsia" w:ascii="仿宋_GB2312" w:hAnsi="仿宋_GB2312" w:eastAsia="仿宋_GB2312" w:cs="仿宋_GB2312"/>
                <w:b/>
                <w:bCs/>
                <w:sz w:val="24"/>
                <w:szCs w:val="24"/>
                <w:u w:val="none"/>
                <w:lang w:val="en-US" w:eastAsia="zh-CN"/>
              </w:rPr>
            </w:pPr>
            <w:r>
              <w:rPr>
                <w:rFonts w:hint="eastAsia" w:ascii="仿宋_GB2312" w:hAnsi="仿宋_GB2312" w:eastAsia="仿宋_GB2312" w:cs="仿宋_GB2312"/>
                <w:b/>
                <w:bCs/>
                <w:sz w:val="24"/>
                <w:szCs w:val="24"/>
                <w:u w:val="none"/>
                <w:lang w:val="en-US" w:eastAsia="zh-CN"/>
              </w:rPr>
              <w:t xml:space="preserve">    二、主要研发内容</w:t>
            </w:r>
          </w:p>
          <w:p w14:paraId="3AF190AC">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hint="eastAsia" w:ascii="仿宋_GB2312" w:hAnsi="仿宋_GB2312" w:eastAsia="仿宋_GB2312" w:cs="仿宋_GB2312"/>
                <w:sz w:val="24"/>
                <w:szCs w:val="24"/>
                <w:u w:val="none"/>
                <w:lang w:val="en-US" w:eastAsia="zh-CN"/>
              </w:rPr>
            </w:pPr>
            <w:r>
              <w:rPr>
                <w:rFonts w:hint="eastAsia" w:ascii="仿宋_GB2312" w:hAnsi="仿宋_GB2312" w:eastAsia="仿宋_GB2312" w:cs="仿宋_GB2312"/>
                <w:sz w:val="24"/>
                <w:szCs w:val="24"/>
                <w:u w:val="none"/>
                <w:lang w:val="en-US" w:eastAsia="zh-CN"/>
              </w:rPr>
              <w:t xml:space="preserve">    1.建设覆盖山地松林、滨海滩涂及农区的多源数据接入通道，构建农林重大有害生物行业空天地多模态感知网络与高质量数据集。</w:t>
            </w:r>
          </w:p>
          <w:p w14:paraId="495BB1F8">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hint="eastAsia" w:ascii="仿宋_GB2312" w:hAnsi="仿宋_GB2312" w:eastAsia="仿宋_GB2312" w:cs="仿宋_GB2312"/>
                <w:sz w:val="24"/>
                <w:szCs w:val="24"/>
                <w:u w:val="none"/>
                <w:lang w:val="en-US" w:eastAsia="zh-CN"/>
              </w:rPr>
            </w:pPr>
            <w:r>
              <w:rPr>
                <w:rFonts w:hint="eastAsia" w:ascii="仿宋_GB2312" w:hAnsi="仿宋_GB2312" w:eastAsia="仿宋_GB2312" w:cs="仿宋_GB2312"/>
                <w:sz w:val="24"/>
                <w:szCs w:val="24"/>
                <w:u w:val="none"/>
                <w:lang w:val="en-US" w:eastAsia="zh-CN"/>
              </w:rPr>
              <w:t xml:space="preserve">    2.研发多模态融合表征、行业领域知识注入关键技术，构建自主可控的农林有害生物多模态监测预警专用生态大模型。</w:t>
            </w:r>
          </w:p>
          <w:p w14:paraId="52679DD3">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hint="eastAsia" w:ascii="仿宋_GB2312" w:hAnsi="仿宋_GB2312" w:eastAsia="仿宋_GB2312" w:cs="仿宋_GB2312"/>
                <w:sz w:val="24"/>
                <w:szCs w:val="24"/>
                <w:u w:val="none"/>
                <w:lang w:val="en-US" w:eastAsia="zh-CN"/>
              </w:rPr>
            </w:pPr>
            <w:r>
              <w:rPr>
                <w:rFonts w:hint="eastAsia" w:ascii="仿宋_GB2312" w:hAnsi="仿宋_GB2312" w:eastAsia="仿宋_GB2312" w:cs="仿宋_GB2312"/>
                <w:sz w:val="24"/>
                <w:szCs w:val="24"/>
                <w:u w:val="none"/>
                <w:lang w:val="en-US" w:eastAsia="zh-CN"/>
              </w:rPr>
              <w:t xml:space="preserve">    3.搭建多智能体专家决策平台，耦合领域知识库，实现有害生物风险自动评估、等级划分与防控策略智能输出。</w:t>
            </w:r>
          </w:p>
          <w:p w14:paraId="08A43A39">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hint="eastAsia" w:ascii="仿宋_GB2312" w:hAnsi="仿宋_GB2312" w:eastAsia="仿宋_GB2312" w:cs="仿宋_GB2312"/>
                <w:sz w:val="24"/>
                <w:szCs w:val="24"/>
                <w:u w:val="none"/>
                <w:lang w:val="en-US" w:eastAsia="zh-CN"/>
              </w:rPr>
            </w:pPr>
            <w:r>
              <w:rPr>
                <w:rFonts w:hint="eastAsia" w:ascii="仿宋_GB2312" w:hAnsi="仿宋_GB2312" w:eastAsia="仿宋_GB2312" w:cs="仿宋_GB2312"/>
                <w:sz w:val="24"/>
                <w:szCs w:val="24"/>
                <w:u w:val="none"/>
                <w:lang w:val="en-US" w:eastAsia="zh-CN"/>
              </w:rPr>
              <w:t xml:space="preserve">    4.开展松材线虫、互花米草绿色防控技术研究，构建智能监测预警与绿色防控一体化闭环体系。</w:t>
            </w:r>
          </w:p>
          <w:p w14:paraId="3E944DD9">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hint="eastAsia" w:ascii="仿宋_GB2312" w:hAnsi="仿宋_GB2312" w:eastAsia="仿宋_GB2312" w:cs="仿宋_GB2312"/>
                <w:sz w:val="24"/>
                <w:szCs w:val="24"/>
                <w:u w:val="none"/>
                <w:lang w:val="en-US" w:eastAsia="zh-CN"/>
              </w:rPr>
            </w:pPr>
            <w:r>
              <w:rPr>
                <w:rFonts w:hint="eastAsia" w:ascii="仿宋_GB2312" w:hAnsi="仿宋_GB2312" w:eastAsia="仿宋_GB2312" w:cs="仿宋_GB2312"/>
                <w:sz w:val="24"/>
                <w:szCs w:val="24"/>
                <w:u w:val="none"/>
                <w:lang w:val="en-US" w:eastAsia="zh-CN"/>
              </w:rPr>
              <w:t xml:space="preserve">    5.建立山地—滨海场景集成示范与推广闭环。</w:t>
            </w:r>
          </w:p>
          <w:p w14:paraId="3CC8C451">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hint="eastAsia" w:ascii="仿宋_GB2312" w:hAnsi="仿宋_GB2312" w:eastAsia="仿宋_GB2312" w:cs="仿宋_GB2312"/>
                <w:b/>
                <w:bCs/>
                <w:sz w:val="24"/>
                <w:szCs w:val="24"/>
                <w:u w:val="none"/>
                <w:lang w:val="en-US" w:eastAsia="zh-CN"/>
              </w:rPr>
            </w:pPr>
            <w:r>
              <w:rPr>
                <w:rFonts w:hint="eastAsia" w:ascii="仿宋_GB2312" w:hAnsi="仿宋_GB2312" w:eastAsia="仿宋_GB2312" w:cs="仿宋_GB2312"/>
                <w:b/>
                <w:bCs/>
                <w:sz w:val="24"/>
                <w:szCs w:val="24"/>
                <w:u w:val="none"/>
                <w:lang w:val="en-US" w:eastAsia="zh-CN"/>
              </w:rPr>
              <w:t xml:space="preserve">    三、预期技术目标与社会经济效益</w:t>
            </w:r>
          </w:p>
          <w:p w14:paraId="144A80FD">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hint="eastAsia" w:ascii="仿宋_GB2312" w:hAnsi="仿宋_GB2312" w:eastAsia="仿宋_GB2312" w:cs="仿宋_GB2312"/>
                <w:sz w:val="24"/>
                <w:szCs w:val="24"/>
                <w:u w:val="none"/>
                <w:lang w:val="en-US" w:eastAsia="zh-CN"/>
              </w:rPr>
            </w:pPr>
            <w:r>
              <w:rPr>
                <w:rFonts w:hint="eastAsia" w:ascii="仿宋_GB2312" w:hAnsi="仿宋_GB2312" w:eastAsia="仿宋_GB2312" w:cs="仿宋_GB2312"/>
                <w:sz w:val="24"/>
                <w:szCs w:val="24"/>
                <w:u w:val="none"/>
                <w:lang w:val="en-US" w:eastAsia="zh-CN"/>
              </w:rPr>
              <w:t xml:space="preserve">   1.建成东南山地—滨海亚热带农林重大有害生物多模态监测预警专用生态大模型：物种领域知识问答准确率≥90%。模型界面输出token平均减少≥20%，首次可见的WEB界面平均在输出流50%以内呈现。</w:t>
            </w:r>
          </w:p>
          <w:p w14:paraId="56E882F5">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hint="eastAsia" w:ascii="仿宋_GB2312" w:hAnsi="仿宋_GB2312" w:eastAsia="仿宋_GB2312" w:cs="仿宋_GB2312"/>
                <w:sz w:val="24"/>
                <w:szCs w:val="24"/>
                <w:u w:val="none"/>
                <w:lang w:val="en-US" w:eastAsia="zh-CN"/>
              </w:rPr>
            </w:pPr>
            <w:r>
              <w:rPr>
                <w:rFonts w:hint="eastAsia" w:ascii="仿宋_GB2312" w:hAnsi="仿宋_GB2312" w:eastAsia="仿宋_GB2312" w:cs="仿宋_GB2312"/>
                <w:sz w:val="24"/>
                <w:szCs w:val="24"/>
                <w:u w:val="none"/>
                <w:lang w:val="en-US" w:eastAsia="zh-CN"/>
              </w:rPr>
              <w:t xml:space="preserve">   2.建立农林重大有害生物多源智能识别及风险预警技术体系：松材线虫病变色期/枯死期斑块识别准确率≥92%、F1≥90%、召回率≥90%。互花米草斑块识别准确率≥95%；在独立区域和跨时相验证条件下，模型识别精度下降幅度≤10个百分点；实现重大风险目标较传统巡查提前14天以上预警，重大风险识别召回率≥90%；形成业务化监测技术方案1套。获得2株兼具促马尾松根系生长、改良土壤与杀线虫能力根际有益功能菌株；筛选生防菌3—5株，抗菌肽MaltDef-1对松材线虫致死率≥95%。获得高效控草的RNAi内生工程菌1-2个。</w:t>
            </w:r>
          </w:p>
          <w:p w14:paraId="76D74F4B">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hint="eastAsia" w:ascii="仿宋_GB2312" w:hAnsi="仿宋_GB2312" w:eastAsia="仿宋_GB2312" w:cs="仿宋_GB2312"/>
                <w:sz w:val="24"/>
                <w:szCs w:val="24"/>
                <w:u w:val="none"/>
                <w:lang w:val="en-US" w:eastAsia="zh-CN"/>
              </w:rPr>
            </w:pPr>
            <w:r>
              <w:rPr>
                <w:rFonts w:hint="eastAsia" w:ascii="仿宋_GB2312" w:hAnsi="仿宋_GB2312" w:eastAsia="仿宋_GB2312" w:cs="仿宋_GB2312"/>
                <w:sz w:val="24"/>
                <w:szCs w:val="24"/>
                <w:u w:val="none"/>
                <w:lang w:val="en-US" w:eastAsia="zh-CN"/>
              </w:rPr>
              <w:t xml:space="preserve">   3.建成2个及以上示范基地，培训人员 100 人次以上。</w:t>
            </w:r>
          </w:p>
          <w:p w14:paraId="608E36BA">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hint="eastAsia" w:ascii="仿宋_GB2312" w:eastAsia="仿宋_GB2312"/>
                <w:sz w:val="24"/>
                <w:u w:val="none"/>
              </w:rPr>
            </w:pPr>
            <w:r>
              <w:rPr>
                <w:rFonts w:hint="eastAsia" w:ascii="仿宋_GB2312" w:hAnsi="仿宋_GB2312" w:eastAsia="仿宋_GB2312" w:cs="仿宋_GB2312"/>
                <w:sz w:val="24"/>
                <w:szCs w:val="24"/>
                <w:u w:val="none"/>
                <w:lang w:val="en-US" w:eastAsia="zh-CN"/>
              </w:rPr>
              <w:t xml:space="preserve">   4.搭建1个多智能体专家决策综合平台，集成5个以上智能体。形成1套网络数据。申请发明专利不少于4件；获得软件著作权不少于5项；发表高质量论文不少于10篇；培养硕博研究生不少于10人，其中博士研究生至少1人。</w:t>
            </w:r>
          </w:p>
        </w:tc>
        <w:tc>
          <w:tcPr>
            <w:tcW w:w="1447" w:type="dxa"/>
            <w:tcBorders>
              <w:top w:val="single" w:color="auto" w:sz="4" w:space="0"/>
              <w:left w:val="single" w:color="auto" w:sz="4" w:space="0"/>
              <w:bottom w:val="single" w:color="auto" w:sz="4" w:space="0"/>
              <w:right w:val="single" w:color="auto" w:sz="4" w:space="0"/>
            </w:tcBorders>
            <w:vAlign w:val="center"/>
          </w:tcPr>
          <w:p w14:paraId="2A90FA9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eastAsia="仿宋_GB2312"/>
                <w:sz w:val="24"/>
                <w:u w:val="none"/>
                <w:lang w:eastAsia="zh-CN"/>
              </w:rPr>
            </w:pPr>
            <w:r>
              <w:rPr>
                <w:rFonts w:hint="eastAsia" w:ascii="仿宋_GB2312" w:eastAsia="仿宋_GB2312"/>
                <w:sz w:val="24"/>
                <w:u w:val="none"/>
                <w:lang w:val="en-US" w:eastAsia="zh-CN"/>
              </w:rPr>
              <w:t>400</w:t>
            </w:r>
          </w:p>
        </w:tc>
        <w:tc>
          <w:tcPr>
            <w:tcW w:w="1556" w:type="dxa"/>
            <w:tcBorders>
              <w:top w:val="single" w:color="auto" w:sz="4" w:space="0"/>
              <w:left w:val="single" w:color="auto" w:sz="4" w:space="0"/>
              <w:bottom w:val="single" w:color="auto" w:sz="4" w:space="0"/>
              <w:right w:val="single" w:color="auto" w:sz="4" w:space="0"/>
            </w:tcBorders>
            <w:vAlign w:val="center"/>
          </w:tcPr>
          <w:p w14:paraId="510852BF">
            <w:r>
              <w:rPr>
                <w:rFonts w:hint="eastAsia" w:ascii="仿宋_GB2312" w:hAnsi="宋体" w:eastAsia="仿宋_GB2312" w:cs="宋体"/>
                <w:bCs/>
                <w:kern w:val="0"/>
                <w:sz w:val="24"/>
                <w:u w:val="none"/>
              </w:rPr>
              <w:t>申报单位须对本专题的整体研发内容和目标进行申报</w:t>
            </w:r>
          </w:p>
          <w:p w14:paraId="28B8CC62"/>
          <w:p w14:paraId="02FE6835"/>
          <w:p w14:paraId="187CFD32"/>
          <w:p w14:paraId="017C7997"/>
          <w:p w14:paraId="0E736216"/>
          <w:p w14:paraId="5A881C57"/>
          <w:p w14:paraId="1346BC4F"/>
          <w:p w14:paraId="1C345F6E"/>
          <w:p w14:paraId="5AAA2AC0"/>
          <w:p w14:paraId="45741216"/>
          <w:p w14:paraId="64A987AA">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仿宋_GB2312" w:eastAsia="仿宋_GB2312"/>
                <w:sz w:val="24"/>
                <w:u w:val="none"/>
              </w:rPr>
            </w:pPr>
          </w:p>
        </w:tc>
      </w:tr>
    </w:tbl>
    <w:p w14:paraId="70F0A687">
      <w:pPr>
        <w:rPr>
          <w:rFonts w:hint="default"/>
          <w:u w:val="none"/>
          <w:lang w:val="en-US" w:eastAsia="zh-CN"/>
        </w:rPr>
      </w:pPr>
    </w:p>
    <w:p w14:paraId="11FC6D61">
      <w:pPr>
        <w:pStyle w:val="2"/>
        <w:rPr>
          <w:rFonts w:hint="default"/>
          <w:u w:val="none"/>
          <w:lang w:val="en-US" w:eastAsia="zh-CN"/>
        </w:rPr>
      </w:pPr>
    </w:p>
    <w:p w14:paraId="58C6907E">
      <w:pPr>
        <w:pStyle w:val="2"/>
        <w:rPr>
          <w:rFonts w:hint="default"/>
          <w:u w:val="none"/>
          <w:lang w:val="en-US" w:eastAsia="zh-CN"/>
        </w:rPr>
      </w:pPr>
    </w:p>
    <w:p w14:paraId="4A71B8CD">
      <w:pPr>
        <w:pStyle w:val="2"/>
        <w:rPr>
          <w:rFonts w:hint="default"/>
          <w:u w:val="none"/>
          <w:lang w:val="en-US" w:eastAsia="zh-CN"/>
        </w:rPr>
      </w:pPr>
    </w:p>
    <w:p w14:paraId="59B836FF">
      <w:pPr>
        <w:pStyle w:val="2"/>
        <w:rPr>
          <w:rFonts w:hint="default"/>
          <w:u w:val="none"/>
          <w:lang w:val="en-US" w:eastAsia="zh-CN"/>
        </w:rPr>
      </w:pPr>
    </w:p>
    <w:p w14:paraId="5E792591">
      <w:pPr>
        <w:pStyle w:val="2"/>
        <w:rPr>
          <w:rFonts w:hint="default"/>
          <w:u w:val="none"/>
          <w:lang w:val="en-US" w:eastAsia="zh-CN"/>
        </w:rPr>
      </w:pPr>
    </w:p>
    <w:p w14:paraId="458C1E7C">
      <w:pPr>
        <w:pStyle w:val="2"/>
        <w:rPr>
          <w:rFonts w:hint="default"/>
          <w:u w:val="none"/>
          <w:lang w:val="en-US" w:eastAsia="zh-CN"/>
        </w:rPr>
      </w:pPr>
    </w:p>
    <w:p w14:paraId="10927901">
      <w:pPr>
        <w:pStyle w:val="2"/>
        <w:rPr>
          <w:rFonts w:hint="default"/>
          <w:u w:val="none"/>
          <w:lang w:val="en-US" w:eastAsia="zh-CN"/>
        </w:rPr>
      </w:pPr>
    </w:p>
    <w:p w14:paraId="3809C2CE">
      <w:pPr>
        <w:pStyle w:val="2"/>
        <w:rPr>
          <w:rFonts w:hint="default"/>
          <w:u w:val="none"/>
          <w:lang w:val="en-US" w:eastAsia="zh-CN"/>
        </w:rPr>
      </w:pPr>
    </w:p>
    <w:p w14:paraId="7E385856">
      <w:pPr>
        <w:pStyle w:val="2"/>
        <w:rPr>
          <w:rFonts w:hint="default"/>
          <w:u w:val="none"/>
          <w:lang w:val="en-US" w:eastAsia="zh-CN"/>
        </w:rPr>
      </w:pPr>
    </w:p>
    <w:p w14:paraId="64183C06">
      <w:pPr>
        <w:pStyle w:val="2"/>
        <w:rPr>
          <w:rFonts w:hint="default"/>
          <w:u w:val="none"/>
          <w:lang w:val="en-US" w:eastAsia="zh-CN"/>
        </w:rPr>
      </w:pPr>
    </w:p>
    <w:p w14:paraId="10D2102C">
      <w:pPr>
        <w:pStyle w:val="2"/>
        <w:rPr>
          <w:rFonts w:hint="default"/>
          <w:u w:val="none"/>
          <w:lang w:val="en-US" w:eastAsia="zh-CN"/>
        </w:rPr>
      </w:pPr>
    </w:p>
    <w:p w14:paraId="4A4E32F2">
      <w:pPr>
        <w:pStyle w:val="2"/>
        <w:rPr>
          <w:rFonts w:hint="default"/>
          <w:u w:val="none"/>
          <w:lang w:val="en-US" w:eastAsia="zh-CN"/>
        </w:rPr>
      </w:pPr>
    </w:p>
    <w:p w14:paraId="52C1C1B6">
      <w:pPr>
        <w:jc w:val="center"/>
        <w:rPr>
          <w:rFonts w:hint="eastAsia" w:ascii="黑体" w:hAnsi="黑体" w:eastAsia="黑体" w:cs="黑体"/>
          <w:sz w:val="32"/>
          <w:szCs w:val="32"/>
          <w:u w:val="none"/>
        </w:rPr>
      </w:pPr>
    </w:p>
    <w:p w14:paraId="436FA184">
      <w:pPr>
        <w:jc w:val="center"/>
        <w:rPr>
          <w:rFonts w:hint="default" w:ascii="黑体" w:hAnsi="黑体" w:eastAsia="黑体" w:cs="黑体"/>
          <w:sz w:val="32"/>
          <w:szCs w:val="32"/>
          <w:u w:val="none"/>
          <w:lang w:val="en-US" w:eastAsia="zh-CN"/>
        </w:rPr>
      </w:pPr>
      <w:r>
        <w:rPr>
          <w:rFonts w:hint="eastAsia" w:ascii="黑体" w:hAnsi="黑体" w:eastAsia="黑体" w:cs="黑体"/>
          <w:sz w:val="32"/>
          <w:szCs w:val="32"/>
          <w:u w:val="none"/>
        </w:rPr>
        <w:t>科技重大专项申报选题表（</w:t>
      </w:r>
      <w:r>
        <w:rPr>
          <w:rFonts w:hint="eastAsia" w:ascii="黑体" w:hAnsi="黑体" w:eastAsia="黑体" w:cs="黑体"/>
          <w:sz w:val="32"/>
          <w:szCs w:val="32"/>
          <w:u w:val="none"/>
          <w:lang w:eastAsia="zh-CN"/>
        </w:rPr>
        <w:t>八</w:t>
      </w:r>
      <w:r>
        <w:rPr>
          <w:rFonts w:hint="eastAsia" w:ascii="黑体" w:hAnsi="黑体" w:eastAsia="黑体" w:cs="黑体"/>
          <w:sz w:val="32"/>
          <w:szCs w:val="32"/>
          <w:u w:val="none"/>
        </w:rPr>
        <w:t>）指南代码</w:t>
      </w:r>
      <w:r>
        <w:rPr>
          <w:rFonts w:ascii="黑体" w:hAnsi="黑体" w:eastAsia="黑体" w:cs="黑体"/>
          <w:sz w:val="32"/>
          <w:szCs w:val="32"/>
          <w:u w:val="none"/>
        </w:rPr>
        <w:t>202</w:t>
      </w:r>
      <w:r>
        <w:rPr>
          <w:rFonts w:hint="eastAsia" w:ascii="黑体" w:hAnsi="黑体" w:eastAsia="黑体" w:cs="黑体"/>
          <w:sz w:val="32"/>
          <w:szCs w:val="32"/>
          <w:u w:val="none"/>
          <w:lang w:val="en-US" w:eastAsia="zh-CN"/>
        </w:rPr>
        <w:t>6NZ0103</w:t>
      </w:r>
    </w:p>
    <w:tbl>
      <w:tblPr>
        <w:tblStyle w:val="12"/>
        <w:tblW w:w="9429" w:type="dxa"/>
        <w:tblInd w:w="-1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70"/>
        <w:gridCol w:w="1314"/>
        <w:gridCol w:w="3742"/>
        <w:gridCol w:w="1447"/>
        <w:gridCol w:w="1556"/>
      </w:tblGrid>
      <w:tr w14:paraId="05C1F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9" w:hRule="atLeast"/>
        </w:trPr>
        <w:tc>
          <w:tcPr>
            <w:tcW w:w="1370" w:type="dxa"/>
            <w:tcBorders>
              <w:top w:val="single" w:color="auto" w:sz="4" w:space="0"/>
              <w:left w:val="single" w:color="auto" w:sz="4" w:space="0"/>
              <w:bottom w:val="single" w:color="auto" w:sz="4" w:space="0"/>
              <w:right w:val="single" w:color="auto" w:sz="4" w:space="0"/>
            </w:tcBorders>
            <w:vAlign w:val="center"/>
          </w:tcPr>
          <w:p w14:paraId="0955F8C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bCs/>
                <w:kern w:val="0"/>
                <w:sz w:val="24"/>
                <w:u w:val="none"/>
              </w:rPr>
            </w:pPr>
            <w:r>
              <w:rPr>
                <w:rFonts w:hint="eastAsia" w:ascii="黑体" w:hAnsi="黑体" w:eastAsia="黑体" w:cs="黑体"/>
                <w:bCs/>
                <w:kern w:val="0"/>
                <w:sz w:val="24"/>
                <w:u w:val="none"/>
              </w:rPr>
              <w:t>所属重大专项名称</w:t>
            </w:r>
          </w:p>
        </w:tc>
        <w:tc>
          <w:tcPr>
            <w:tcW w:w="1314" w:type="dxa"/>
            <w:tcBorders>
              <w:top w:val="single" w:color="auto" w:sz="4" w:space="0"/>
              <w:left w:val="single" w:color="auto" w:sz="4" w:space="0"/>
              <w:bottom w:val="single" w:color="auto" w:sz="4" w:space="0"/>
              <w:right w:val="single" w:color="auto" w:sz="4" w:space="0"/>
            </w:tcBorders>
            <w:vAlign w:val="center"/>
          </w:tcPr>
          <w:p w14:paraId="060218C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sz w:val="24"/>
                <w:u w:val="none"/>
              </w:rPr>
            </w:pPr>
            <w:r>
              <w:rPr>
                <w:rFonts w:hint="eastAsia" w:ascii="黑体" w:hAnsi="黑体" w:eastAsia="黑体" w:cs="黑体"/>
                <w:sz w:val="24"/>
                <w:u w:val="none"/>
              </w:rPr>
              <w:t>选题</w:t>
            </w:r>
          </w:p>
          <w:p w14:paraId="1E8F4EA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sz w:val="24"/>
                <w:u w:val="none"/>
              </w:rPr>
            </w:pPr>
            <w:r>
              <w:rPr>
                <w:rFonts w:hint="eastAsia" w:ascii="黑体" w:hAnsi="黑体" w:eastAsia="黑体" w:cs="黑体"/>
                <w:sz w:val="24"/>
                <w:u w:val="none"/>
              </w:rPr>
              <w:t>方向</w:t>
            </w:r>
          </w:p>
        </w:tc>
        <w:tc>
          <w:tcPr>
            <w:tcW w:w="3742" w:type="dxa"/>
            <w:tcBorders>
              <w:top w:val="single" w:color="auto" w:sz="4" w:space="0"/>
              <w:left w:val="single" w:color="auto" w:sz="4" w:space="0"/>
              <w:bottom w:val="single" w:color="auto" w:sz="4" w:space="0"/>
              <w:right w:val="single" w:color="auto" w:sz="4" w:space="0"/>
            </w:tcBorders>
            <w:vAlign w:val="center"/>
          </w:tcPr>
          <w:p w14:paraId="5F9ECE4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sz w:val="24"/>
                <w:u w:val="none"/>
              </w:rPr>
            </w:pPr>
            <w:r>
              <w:rPr>
                <w:rFonts w:hint="eastAsia" w:ascii="黑体" w:hAnsi="黑体" w:eastAsia="黑体" w:cs="黑体"/>
                <w:sz w:val="24"/>
                <w:u w:val="none"/>
              </w:rPr>
              <w:t>选题方向重点内容</w:t>
            </w:r>
          </w:p>
        </w:tc>
        <w:tc>
          <w:tcPr>
            <w:tcW w:w="1447" w:type="dxa"/>
            <w:tcBorders>
              <w:top w:val="single" w:color="auto" w:sz="4" w:space="0"/>
              <w:left w:val="single" w:color="auto" w:sz="4" w:space="0"/>
              <w:bottom w:val="single" w:color="auto" w:sz="4" w:space="0"/>
              <w:right w:val="single" w:color="auto" w:sz="4" w:space="0"/>
            </w:tcBorders>
            <w:vAlign w:val="center"/>
          </w:tcPr>
          <w:p w14:paraId="1E11157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sz w:val="24"/>
                <w:u w:val="none"/>
              </w:rPr>
            </w:pPr>
            <w:r>
              <w:rPr>
                <w:rFonts w:hint="eastAsia" w:ascii="黑体" w:hAnsi="黑体" w:eastAsia="黑体" w:cs="黑体"/>
                <w:sz w:val="24"/>
                <w:u w:val="none"/>
                <w:lang w:eastAsia="zh-CN"/>
              </w:rPr>
              <w:t>最高</w:t>
            </w:r>
            <w:r>
              <w:rPr>
                <w:rFonts w:hint="eastAsia" w:ascii="黑体" w:hAnsi="黑体" w:eastAsia="黑体" w:cs="黑体"/>
                <w:sz w:val="24"/>
                <w:u w:val="none"/>
              </w:rPr>
              <w:t>申请资助经费</w:t>
            </w:r>
          </w:p>
          <w:p w14:paraId="5E38B65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sz w:val="24"/>
                <w:u w:val="none"/>
              </w:rPr>
            </w:pPr>
            <w:r>
              <w:rPr>
                <w:rFonts w:hint="eastAsia" w:ascii="黑体" w:hAnsi="黑体" w:eastAsia="黑体" w:cs="黑体"/>
                <w:sz w:val="24"/>
                <w:u w:val="none"/>
              </w:rPr>
              <w:t>（万元）</w:t>
            </w:r>
          </w:p>
        </w:tc>
        <w:tc>
          <w:tcPr>
            <w:tcW w:w="1556" w:type="dxa"/>
            <w:tcBorders>
              <w:top w:val="single" w:color="auto" w:sz="4" w:space="0"/>
              <w:left w:val="single" w:color="auto" w:sz="4" w:space="0"/>
              <w:bottom w:val="single" w:color="auto" w:sz="4" w:space="0"/>
              <w:right w:val="single" w:color="auto" w:sz="4" w:space="0"/>
            </w:tcBorders>
            <w:vAlign w:val="center"/>
          </w:tcPr>
          <w:p w14:paraId="1F3A622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sz w:val="24"/>
                <w:u w:val="none"/>
              </w:rPr>
            </w:pPr>
            <w:r>
              <w:rPr>
                <w:rFonts w:hint="eastAsia" w:ascii="仿宋_GB2312" w:hAnsi="仿宋_GB2312" w:eastAsia="仿宋_GB2312" w:cs="仿宋_GB2312"/>
                <w:b/>
                <w:sz w:val="24"/>
                <w:u w:val="none"/>
              </w:rPr>
              <w:t>要求</w:t>
            </w:r>
          </w:p>
        </w:tc>
      </w:tr>
      <w:tr w14:paraId="775D2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9" w:hRule="atLeast"/>
        </w:trPr>
        <w:tc>
          <w:tcPr>
            <w:tcW w:w="1370" w:type="dxa"/>
            <w:tcBorders>
              <w:top w:val="single" w:color="auto" w:sz="4" w:space="0"/>
              <w:left w:val="single" w:color="auto" w:sz="4" w:space="0"/>
              <w:bottom w:val="single" w:color="auto" w:sz="4" w:space="0"/>
              <w:right w:val="single" w:color="auto" w:sz="4" w:space="0"/>
            </w:tcBorders>
            <w:vAlign w:val="center"/>
          </w:tcPr>
          <w:p w14:paraId="1FF5A013">
            <w:r>
              <w:rPr>
                <w:rFonts w:hint="eastAsia" w:ascii="仿宋_GB2312" w:hAnsi="宋体" w:eastAsia="仿宋_GB2312" w:cs="宋体"/>
                <w:bCs/>
                <w:kern w:val="0"/>
                <w:sz w:val="24"/>
                <w:u w:val="none"/>
                <w:lang w:val="en-US" w:eastAsia="zh-CN"/>
              </w:rPr>
              <w:t>种业创新</w:t>
            </w:r>
          </w:p>
          <w:p w14:paraId="17166B56"/>
          <w:p w14:paraId="6C925663">
            <w:pPr>
              <w:keepNext w:val="0"/>
              <w:keepLines w:val="0"/>
              <w:pageBreakBefore w:val="0"/>
              <w:widowControl w:val="0"/>
              <w:kinsoku/>
              <w:wordWrap/>
              <w:overflowPunct/>
              <w:topLinePunct w:val="0"/>
              <w:autoSpaceDE/>
              <w:autoSpaceDN/>
              <w:bidi w:val="0"/>
              <w:adjustRightInd/>
              <w:snapToGrid w:val="0"/>
              <w:spacing w:after="156" w:afterLines="50" w:line="400" w:lineRule="exact"/>
              <w:jc w:val="center"/>
              <w:textAlignment w:val="auto"/>
              <w:rPr>
                <w:rFonts w:hint="eastAsia" w:ascii="仿宋_GB2312" w:hAnsi="宋体" w:eastAsia="仿宋_GB2312" w:cs="宋体"/>
                <w:bCs/>
                <w:kern w:val="0"/>
                <w:sz w:val="24"/>
                <w:u w:val="none"/>
              </w:rPr>
            </w:pPr>
          </w:p>
        </w:tc>
        <w:tc>
          <w:tcPr>
            <w:tcW w:w="1314" w:type="dxa"/>
            <w:tcBorders>
              <w:top w:val="single" w:color="auto" w:sz="4" w:space="0"/>
              <w:left w:val="single" w:color="auto" w:sz="4" w:space="0"/>
              <w:bottom w:val="single" w:color="auto" w:sz="4" w:space="0"/>
              <w:right w:val="single" w:color="auto" w:sz="4" w:space="0"/>
            </w:tcBorders>
            <w:vAlign w:val="center"/>
          </w:tcPr>
          <w:p w14:paraId="13F73FFC">
            <w:pPr>
              <w:keepNext w:val="0"/>
              <w:keepLines w:val="0"/>
              <w:pageBreakBefore w:val="0"/>
              <w:widowControl w:val="0"/>
              <w:kinsoku/>
              <w:wordWrap/>
              <w:overflowPunct/>
              <w:topLinePunct w:val="0"/>
              <w:autoSpaceDE/>
              <w:autoSpaceDN/>
              <w:bidi w:val="0"/>
              <w:adjustRightInd/>
              <w:snapToGrid w:val="0"/>
              <w:spacing w:after="156" w:afterLines="50" w:line="400" w:lineRule="exact"/>
              <w:jc w:val="center"/>
              <w:textAlignment w:val="auto"/>
              <w:rPr>
                <w:rFonts w:hint="eastAsia" w:ascii="仿宋_GB2312" w:hAnsi="宋体" w:eastAsia="仿宋_GB2312" w:cs="宋体"/>
                <w:bCs/>
                <w:kern w:val="0"/>
                <w:sz w:val="24"/>
                <w:u w:val="none"/>
                <w:lang w:val="en-US" w:eastAsia="zh-CN"/>
              </w:rPr>
            </w:pPr>
            <w:r>
              <w:rPr>
                <w:rFonts w:hint="eastAsia" w:ascii="仿宋_GB2312" w:hAnsi="宋体" w:eastAsia="仿宋_GB2312" w:cs="宋体"/>
                <w:bCs/>
                <w:kern w:val="0"/>
                <w:sz w:val="24"/>
                <w:u w:val="none"/>
                <w:lang w:val="en-US" w:eastAsia="zh-CN"/>
              </w:rPr>
              <w:t>百合智能设计育种与种球智慧化生产研究及应用</w:t>
            </w:r>
          </w:p>
          <w:p w14:paraId="04B848B9">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仿宋_GB2312" w:eastAsia="仿宋_GB2312"/>
                <w:sz w:val="24"/>
                <w:u w:val="none"/>
              </w:rPr>
            </w:pPr>
          </w:p>
        </w:tc>
        <w:tc>
          <w:tcPr>
            <w:tcW w:w="3742" w:type="dxa"/>
            <w:tcBorders>
              <w:top w:val="single" w:color="auto" w:sz="4" w:space="0"/>
              <w:left w:val="single" w:color="auto" w:sz="4" w:space="0"/>
              <w:bottom w:val="single" w:color="auto" w:sz="4" w:space="0"/>
              <w:right w:val="single" w:color="auto" w:sz="4" w:space="0"/>
            </w:tcBorders>
            <w:vAlign w:val="center"/>
          </w:tcPr>
          <w:p w14:paraId="5A2CE76E">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hint="eastAsia" w:ascii="仿宋_GB2312" w:hAnsi="仿宋_GB2312" w:eastAsia="仿宋_GB2312" w:cs="仿宋_GB2312"/>
                <w:b/>
                <w:bCs w:val="0"/>
                <w:sz w:val="24"/>
                <w:szCs w:val="24"/>
                <w:u w:val="none"/>
                <w:lang w:val="en-US" w:eastAsia="zh-CN"/>
              </w:rPr>
            </w:pPr>
            <w:r>
              <w:rPr>
                <w:rFonts w:hint="eastAsia" w:ascii="仿宋_GB2312" w:hAnsi="宋体" w:eastAsia="仿宋_GB2312" w:cs="宋体"/>
                <w:b/>
                <w:bCs w:val="0"/>
                <w:kern w:val="0"/>
                <w:sz w:val="24"/>
                <w:u w:val="none"/>
                <w:lang w:val="en-US" w:eastAsia="zh-CN"/>
              </w:rPr>
              <w:t xml:space="preserve">    </w:t>
            </w:r>
            <w:r>
              <w:rPr>
                <w:rFonts w:hint="eastAsia" w:ascii="仿宋_GB2312" w:hAnsi="仿宋_GB2312" w:eastAsia="仿宋_GB2312" w:cs="仿宋_GB2312"/>
                <w:b/>
                <w:bCs w:val="0"/>
                <w:sz w:val="24"/>
                <w:szCs w:val="24"/>
                <w:u w:val="none"/>
                <w:lang w:val="en-US" w:eastAsia="zh-CN"/>
              </w:rPr>
              <w:t>一、技术难题</w:t>
            </w:r>
          </w:p>
          <w:p w14:paraId="3F3A8A67">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hint="eastAsia" w:ascii="仿宋_GB2312" w:hAnsi="仿宋_GB2312" w:eastAsia="仿宋_GB2312" w:cs="仿宋_GB2312"/>
                <w:sz w:val="24"/>
                <w:szCs w:val="24"/>
                <w:u w:val="none"/>
                <w:lang w:val="en-US" w:eastAsia="zh-CN"/>
              </w:rPr>
            </w:pPr>
            <w:r>
              <w:rPr>
                <w:rFonts w:hint="eastAsia" w:ascii="仿宋_GB2312" w:hAnsi="仿宋_GB2312" w:eastAsia="仿宋_GB2312" w:cs="仿宋_GB2312"/>
                <w:sz w:val="24"/>
                <w:szCs w:val="24"/>
                <w:u w:val="none"/>
                <w:lang w:val="en-US" w:eastAsia="zh-CN"/>
              </w:rPr>
              <w:t xml:space="preserve">    种质资源保护不足，资源利用率低；性状机理解析不深入，育种依赖经验支撑；种质创新能力薄弱，优质新品种供给不足；种球繁育技术不规范，标准化体系缺失；生产装备智能化不足，种球产能效率偏低。</w:t>
            </w:r>
          </w:p>
          <w:p w14:paraId="546D8E59">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hint="eastAsia" w:ascii="仿宋_GB2312" w:hAnsi="仿宋_GB2312" w:eastAsia="仿宋_GB2312" w:cs="仿宋_GB2312"/>
                <w:b/>
                <w:bCs/>
                <w:sz w:val="24"/>
                <w:szCs w:val="24"/>
                <w:u w:val="none"/>
                <w:lang w:val="en-US" w:eastAsia="zh-CN"/>
              </w:rPr>
            </w:pPr>
            <w:r>
              <w:rPr>
                <w:rFonts w:hint="eastAsia" w:ascii="仿宋_GB2312" w:hAnsi="仿宋_GB2312" w:eastAsia="仿宋_GB2312" w:cs="仿宋_GB2312"/>
                <w:b/>
                <w:bCs/>
                <w:sz w:val="24"/>
                <w:szCs w:val="24"/>
                <w:u w:val="none"/>
                <w:lang w:val="en-US" w:eastAsia="zh-CN"/>
              </w:rPr>
              <w:t xml:space="preserve">    二、主要研究内容</w:t>
            </w:r>
          </w:p>
          <w:p w14:paraId="05FE6E05">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hint="eastAsia" w:ascii="仿宋_GB2312" w:hAnsi="仿宋_GB2312" w:eastAsia="仿宋_GB2312" w:cs="仿宋_GB2312"/>
                <w:sz w:val="24"/>
                <w:szCs w:val="24"/>
                <w:u w:val="none"/>
                <w:lang w:val="en-US" w:eastAsia="zh-CN"/>
              </w:rPr>
            </w:pPr>
            <w:r>
              <w:rPr>
                <w:rFonts w:hint="eastAsia" w:ascii="仿宋_GB2312" w:hAnsi="仿宋_GB2312" w:eastAsia="仿宋_GB2312" w:cs="仿宋_GB2312"/>
                <w:sz w:val="24"/>
                <w:szCs w:val="24"/>
                <w:u w:val="none"/>
                <w:lang w:val="en-US" w:eastAsia="zh-CN"/>
              </w:rPr>
              <w:t xml:space="preserve">    百合种质数字化管理与智能化分类研究；百合精准育种智能决策模型开；百合种质创新与新品种选育；优质种球标准化繁育技术体系构建；百合智慧化生产配套设备研发。</w:t>
            </w:r>
          </w:p>
          <w:p w14:paraId="2BB0A703">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hint="eastAsia" w:ascii="仿宋_GB2312" w:hAnsi="仿宋_GB2312" w:eastAsia="仿宋_GB2312" w:cs="仿宋_GB2312"/>
                <w:b/>
                <w:bCs/>
                <w:sz w:val="24"/>
                <w:szCs w:val="24"/>
                <w:u w:val="none"/>
                <w:lang w:val="en-US" w:eastAsia="zh-CN"/>
              </w:rPr>
            </w:pPr>
            <w:r>
              <w:rPr>
                <w:rFonts w:hint="eastAsia" w:ascii="仿宋_GB2312" w:hAnsi="仿宋_GB2312" w:eastAsia="仿宋_GB2312" w:cs="仿宋_GB2312"/>
                <w:b/>
                <w:bCs/>
                <w:sz w:val="24"/>
                <w:szCs w:val="24"/>
                <w:u w:val="none"/>
                <w:lang w:val="en-US" w:eastAsia="zh-CN"/>
              </w:rPr>
              <w:t xml:space="preserve">    三、攻关后预期技术目标</w:t>
            </w:r>
          </w:p>
          <w:p w14:paraId="2E3375EC">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hint="eastAsia" w:ascii="仿宋_GB2312" w:hAnsi="仿宋_GB2312" w:eastAsia="仿宋_GB2312" w:cs="仿宋_GB2312"/>
                <w:sz w:val="24"/>
                <w:szCs w:val="24"/>
                <w:u w:val="none"/>
                <w:lang w:val="en-US" w:eastAsia="zh-CN"/>
              </w:rPr>
            </w:pPr>
            <w:r>
              <w:rPr>
                <w:rFonts w:hint="eastAsia" w:ascii="仿宋_GB2312" w:hAnsi="仿宋_GB2312" w:eastAsia="仿宋_GB2312" w:cs="仿宋_GB2312"/>
                <w:sz w:val="24"/>
                <w:szCs w:val="24"/>
                <w:u w:val="none"/>
                <w:lang w:val="en-US" w:eastAsia="zh-CN"/>
              </w:rPr>
              <w:t xml:space="preserve">   （一）预期技术指标</w:t>
            </w:r>
          </w:p>
          <w:p w14:paraId="5621BF89">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hint="eastAsia" w:ascii="仿宋_GB2312" w:hAnsi="仿宋_GB2312" w:eastAsia="仿宋_GB2312" w:cs="仿宋_GB2312"/>
                <w:sz w:val="24"/>
                <w:szCs w:val="24"/>
                <w:u w:val="none"/>
                <w:lang w:val="en-US" w:eastAsia="zh-CN"/>
              </w:rPr>
            </w:pPr>
            <w:r>
              <w:rPr>
                <w:rFonts w:hint="eastAsia" w:ascii="仿宋_GB2312" w:hAnsi="仿宋_GB2312" w:eastAsia="仿宋_GB2312" w:cs="仿宋_GB2312"/>
                <w:sz w:val="24"/>
                <w:szCs w:val="24"/>
                <w:u w:val="none"/>
                <w:lang w:val="en-US" w:eastAsia="zh-CN"/>
              </w:rPr>
              <w:t xml:space="preserve">    1.建成包含300份以上种质的百合种质资源圃（库），并申报省级百合种质资源圃1个，搭建开放式数据库1个。</w:t>
            </w:r>
          </w:p>
          <w:p w14:paraId="104AB458">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hint="eastAsia" w:ascii="仿宋_GB2312" w:hAnsi="仿宋_GB2312" w:eastAsia="仿宋_GB2312" w:cs="仿宋_GB2312"/>
                <w:sz w:val="24"/>
                <w:szCs w:val="24"/>
                <w:u w:val="none"/>
                <w:lang w:val="en-US" w:eastAsia="zh-CN"/>
              </w:rPr>
            </w:pPr>
            <w:r>
              <w:rPr>
                <w:rFonts w:hint="eastAsia" w:ascii="仿宋_GB2312" w:hAnsi="仿宋_GB2312" w:eastAsia="仿宋_GB2312" w:cs="仿宋_GB2312"/>
                <w:sz w:val="24"/>
                <w:szCs w:val="24"/>
                <w:u w:val="none"/>
                <w:lang w:val="en-US" w:eastAsia="zh-CN"/>
              </w:rPr>
              <w:t xml:space="preserve">    2.建立10个以上的百合育种核心功能基因分子标记集，挖掘鳞茎再生相关基因3-4个，筛选耐弱光、耐湿冷、繁殖系数适中的核心种质20份以上，选育百合新品种2-3个，申请或获得国家植物新品种保护权2-3个。</w:t>
            </w:r>
          </w:p>
          <w:p w14:paraId="305F2C49">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hint="eastAsia" w:ascii="仿宋_GB2312" w:hAnsi="仿宋_GB2312" w:eastAsia="仿宋_GB2312" w:cs="仿宋_GB2312"/>
                <w:sz w:val="24"/>
                <w:szCs w:val="24"/>
                <w:u w:val="none"/>
                <w:lang w:val="en-US" w:eastAsia="zh-CN"/>
              </w:rPr>
            </w:pPr>
            <w:r>
              <w:rPr>
                <w:rFonts w:hint="eastAsia" w:ascii="仿宋_GB2312" w:hAnsi="仿宋_GB2312" w:eastAsia="仿宋_GB2312" w:cs="仿宋_GB2312"/>
                <w:sz w:val="24"/>
                <w:szCs w:val="24"/>
                <w:u w:val="none"/>
                <w:lang w:val="en-US" w:eastAsia="zh-CN"/>
              </w:rPr>
              <w:t xml:space="preserve">    3.开发百合精准育种智能决策模型一套，GEBV预测相关系数r≥0.50。</w:t>
            </w:r>
          </w:p>
          <w:p w14:paraId="06D20D10">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hint="eastAsia" w:ascii="仿宋_GB2312" w:hAnsi="仿宋_GB2312" w:eastAsia="仿宋_GB2312" w:cs="仿宋_GB2312"/>
                <w:sz w:val="24"/>
                <w:szCs w:val="24"/>
                <w:u w:val="none"/>
                <w:lang w:val="en-US" w:eastAsia="zh-CN"/>
              </w:rPr>
            </w:pPr>
            <w:r>
              <w:rPr>
                <w:rFonts w:hint="eastAsia" w:ascii="仿宋_GB2312" w:hAnsi="仿宋_GB2312" w:eastAsia="仿宋_GB2312" w:cs="仿宋_GB2312"/>
                <w:sz w:val="24"/>
                <w:szCs w:val="24"/>
                <w:u w:val="none"/>
                <w:lang w:val="en-US" w:eastAsia="zh-CN"/>
              </w:rPr>
              <w:t xml:space="preserve">    4.集成建立原原种-原种-商品种高效繁殖技术体系，繁殖系数达 18-20倍，脱毒率≥95%，形成技术规程1-2套。</w:t>
            </w:r>
          </w:p>
          <w:p w14:paraId="025F50DF">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hint="eastAsia" w:ascii="仿宋_GB2312" w:hAnsi="仿宋_GB2312" w:eastAsia="仿宋_GB2312" w:cs="仿宋_GB2312"/>
                <w:sz w:val="24"/>
                <w:szCs w:val="24"/>
                <w:u w:val="none"/>
                <w:lang w:val="en-US" w:eastAsia="zh-CN"/>
              </w:rPr>
            </w:pPr>
            <w:r>
              <w:rPr>
                <w:rFonts w:hint="eastAsia" w:ascii="仿宋_GB2312" w:hAnsi="仿宋_GB2312" w:eastAsia="仿宋_GB2312" w:cs="仿宋_GB2312"/>
                <w:sz w:val="24"/>
                <w:szCs w:val="24"/>
                <w:u w:val="none"/>
                <w:lang w:val="en-US" w:eastAsia="zh-CN"/>
              </w:rPr>
              <w:t xml:space="preserve">    5.研发百合鳞片扦插智能化生产线1条，日均扦插量≥13万穴，漏穴率≤4%，生产效率提升300%以上。</w:t>
            </w:r>
          </w:p>
          <w:p w14:paraId="054C611A">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hint="eastAsia" w:ascii="仿宋_GB2312" w:hAnsi="仿宋_GB2312" w:eastAsia="仿宋_GB2312" w:cs="仿宋_GB2312"/>
                <w:sz w:val="24"/>
                <w:szCs w:val="24"/>
                <w:u w:val="none"/>
                <w:lang w:val="en-US" w:eastAsia="zh-CN"/>
              </w:rPr>
            </w:pPr>
            <w:r>
              <w:rPr>
                <w:rFonts w:hint="eastAsia" w:ascii="仿宋_GB2312" w:hAnsi="仿宋_GB2312" w:eastAsia="仿宋_GB2312" w:cs="仿宋_GB2312"/>
                <w:sz w:val="24"/>
                <w:szCs w:val="24"/>
                <w:u w:val="none"/>
                <w:lang w:val="en-US" w:eastAsia="zh-CN"/>
              </w:rPr>
              <w:t xml:space="preserve">    6.发表SCI论文3-4篇，申请或获得发明专利5-6项，软件著作权3-4项。</w:t>
            </w:r>
          </w:p>
          <w:p w14:paraId="722BFBB9">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hint="eastAsia" w:ascii="仿宋_GB2312" w:hAnsi="仿宋_GB2312" w:eastAsia="仿宋_GB2312" w:cs="仿宋_GB2312"/>
                <w:b/>
                <w:bCs/>
                <w:sz w:val="24"/>
                <w:szCs w:val="24"/>
                <w:u w:val="none"/>
                <w:lang w:val="en-US" w:eastAsia="zh-CN"/>
              </w:rPr>
            </w:pPr>
            <w:r>
              <w:rPr>
                <w:rFonts w:hint="eastAsia" w:ascii="仿宋_GB2312" w:hAnsi="仿宋_GB2312" w:eastAsia="仿宋_GB2312" w:cs="仿宋_GB2312"/>
                <w:b/>
                <w:bCs/>
                <w:sz w:val="24"/>
                <w:szCs w:val="24"/>
                <w:u w:val="none"/>
                <w:lang w:val="en-US" w:eastAsia="zh-CN"/>
              </w:rPr>
              <w:t xml:space="preserve">    四、经济社会效益指标</w:t>
            </w:r>
          </w:p>
          <w:p w14:paraId="690B7234">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hint="eastAsia" w:ascii="仿宋_GB2312" w:hAnsi="仿宋_GB2312" w:eastAsia="仿宋_GB2312" w:cs="仿宋_GB2312"/>
                <w:sz w:val="24"/>
                <w:szCs w:val="24"/>
                <w:u w:val="none"/>
                <w:lang w:val="en-US" w:eastAsia="zh-CN"/>
              </w:rPr>
            </w:pPr>
            <w:r>
              <w:rPr>
                <w:rFonts w:hint="eastAsia" w:ascii="仿宋_GB2312" w:hAnsi="仿宋_GB2312" w:eastAsia="仿宋_GB2312" w:cs="仿宋_GB2312"/>
                <w:sz w:val="24"/>
                <w:szCs w:val="24"/>
                <w:u w:val="none"/>
                <w:lang w:val="en-US" w:eastAsia="zh-CN"/>
              </w:rPr>
              <w:t xml:space="preserve">   （一）预期产业化指标</w:t>
            </w:r>
          </w:p>
          <w:p w14:paraId="1E02D95F">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hint="eastAsia" w:ascii="仿宋_GB2312" w:hAnsi="仿宋_GB2312" w:eastAsia="仿宋_GB2312" w:cs="仿宋_GB2312"/>
                <w:sz w:val="24"/>
                <w:szCs w:val="24"/>
                <w:u w:val="none"/>
                <w:lang w:val="en-US" w:eastAsia="zh-CN"/>
              </w:rPr>
            </w:pPr>
            <w:r>
              <w:rPr>
                <w:rFonts w:hint="eastAsia" w:ascii="仿宋_GB2312" w:hAnsi="仿宋_GB2312" w:eastAsia="仿宋_GB2312" w:cs="仿宋_GB2312"/>
                <w:sz w:val="24"/>
                <w:szCs w:val="24"/>
                <w:u w:val="none"/>
                <w:lang w:val="en-US" w:eastAsia="zh-CN"/>
              </w:rPr>
              <w:t xml:space="preserve">    1.培育百合良种工厂化繁育主体1家，累计生产百合籽球1500万粒，累计新增产值600万元以上。</w:t>
            </w:r>
          </w:p>
          <w:p w14:paraId="6BB07762">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hint="eastAsia" w:ascii="仿宋_GB2312" w:hAnsi="仿宋_GB2312" w:eastAsia="仿宋_GB2312" w:cs="仿宋_GB2312"/>
                <w:sz w:val="24"/>
                <w:szCs w:val="24"/>
                <w:u w:val="none"/>
                <w:lang w:val="en-US" w:eastAsia="zh-CN"/>
              </w:rPr>
            </w:pPr>
            <w:r>
              <w:rPr>
                <w:rFonts w:hint="eastAsia" w:ascii="仿宋_GB2312" w:hAnsi="仿宋_GB2312" w:eastAsia="仿宋_GB2312" w:cs="仿宋_GB2312"/>
                <w:sz w:val="24"/>
                <w:szCs w:val="24"/>
                <w:u w:val="none"/>
                <w:lang w:val="en-US" w:eastAsia="zh-CN"/>
              </w:rPr>
              <w:t xml:space="preserve">    2.建立种球标准化高效复壮示范片2-3处，实现每粒商品种球生产成本控制在3元以下。</w:t>
            </w:r>
          </w:p>
          <w:p w14:paraId="23BCA928">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hint="eastAsia" w:ascii="仿宋_GB2312" w:hAnsi="仿宋_GB2312" w:eastAsia="仿宋_GB2312" w:cs="仿宋_GB2312"/>
                <w:sz w:val="24"/>
                <w:szCs w:val="24"/>
                <w:u w:val="none"/>
                <w:lang w:val="en-US" w:eastAsia="zh-CN"/>
              </w:rPr>
            </w:pPr>
            <w:r>
              <w:rPr>
                <w:rFonts w:hint="eastAsia" w:ascii="仿宋_GB2312" w:hAnsi="仿宋_GB2312" w:eastAsia="仿宋_GB2312" w:cs="仿宋_GB2312"/>
                <w:sz w:val="24"/>
                <w:szCs w:val="24"/>
                <w:u w:val="none"/>
                <w:lang w:val="en-US" w:eastAsia="zh-CN"/>
              </w:rPr>
              <w:t xml:space="preserve">    3.辐射带动新型经营主体或种植大户参与国产百合种植50户以上，带动就业人数1000人以上，培养各类人才2-3名。</w:t>
            </w:r>
          </w:p>
          <w:p w14:paraId="39814D1A">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hint="eastAsia" w:ascii="仿宋_GB2312" w:eastAsia="仿宋_GB2312"/>
                <w:sz w:val="24"/>
                <w:u w:val="none"/>
              </w:rPr>
            </w:pPr>
            <w:r>
              <w:rPr>
                <w:rFonts w:hint="eastAsia" w:ascii="仿宋_GB2312" w:hAnsi="仿宋_GB2312" w:eastAsia="仿宋_GB2312" w:cs="仿宋_GB2312"/>
                <w:sz w:val="24"/>
                <w:szCs w:val="24"/>
                <w:u w:val="none"/>
                <w:lang w:val="en-US" w:eastAsia="zh-CN"/>
              </w:rPr>
              <w:t xml:space="preserve">    4.开展技术培训4-5场，累计培训人数2000人以上。</w:t>
            </w:r>
          </w:p>
        </w:tc>
        <w:tc>
          <w:tcPr>
            <w:tcW w:w="1447" w:type="dxa"/>
            <w:tcBorders>
              <w:top w:val="single" w:color="auto" w:sz="4" w:space="0"/>
              <w:left w:val="single" w:color="auto" w:sz="4" w:space="0"/>
              <w:bottom w:val="single" w:color="auto" w:sz="4" w:space="0"/>
              <w:right w:val="single" w:color="auto" w:sz="4" w:space="0"/>
            </w:tcBorders>
            <w:vAlign w:val="center"/>
          </w:tcPr>
          <w:p w14:paraId="680D8D4C">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仿宋_GB2312" w:eastAsia="仿宋_GB2312"/>
                <w:sz w:val="24"/>
                <w:u w:val="none"/>
                <w:lang w:eastAsia="zh-CN"/>
              </w:rPr>
            </w:pPr>
            <w:r>
              <w:rPr>
                <w:rFonts w:hint="eastAsia" w:ascii="仿宋_GB2312" w:eastAsia="仿宋_GB2312"/>
                <w:sz w:val="24"/>
                <w:u w:val="none"/>
                <w:lang w:val="en-US" w:eastAsia="zh-CN"/>
              </w:rPr>
              <w:t>400</w:t>
            </w:r>
          </w:p>
        </w:tc>
        <w:tc>
          <w:tcPr>
            <w:tcW w:w="1556" w:type="dxa"/>
            <w:tcBorders>
              <w:top w:val="single" w:color="auto" w:sz="4" w:space="0"/>
              <w:left w:val="single" w:color="auto" w:sz="4" w:space="0"/>
              <w:bottom w:val="single" w:color="auto" w:sz="4" w:space="0"/>
              <w:right w:val="single" w:color="auto" w:sz="4" w:space="0"/>
            </w:tcBorders>
            <w:vAlign w:val="center"/>
          </w:tcPr>
          <w:p w14:paraId="785BEAB2">
            <w:r>
              <w:rPr>
                <w:rFonts w:hint="eastAsia" w:ascii="仿宋_GB2312" w:hAnsi="宋体" w:eastAsia="仿宋_GB2312" w:cs="宋体"/>
                <w:bCs/>
                <w:kern w:val="0"/>
                <w:sz w:val="24"/>
                <w:u w:val="none"/>
              </w:rPr>
              <w:t>申报单位须对本专题的整体研发内容和目标进行申报</w:t>
            </w:r>
          </w:p>
          <w:p w14:paraId="182A2D83"/>
          <w:p w14:paraId="47BD520A"/>
          <w:p w14:paraId="19BCDDEF"/>
          <w:p w14:paraId="624E5DE2"/>
          <w:p w14:paraId="23CDA8EA"/>
          <w:p w14:paraId="7F09B8E7"/>
          <w:p w14:paraId="07651BC8"/>
          <w:p w14:paraId="70C124F4"/>
          <w:p w14:paraId="2666D384"/>
          <w:p w14:paraId="4050EDF6"/>
          <w:p w14:paraId="73583E36">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仿宋_GB2312" w:eastAsia="仿宋_GB2312"/>
                <w:sz w:val="24"/>
                <w:u w:val="none"/>
              </w:rPr>
            </w:pPr>
          </w:p>
        </w:tc>
      </w:tr>
    </w:tbl>
    <w:p w14:paraId="155DD693">
      <w:pPr>
        <w:pStyle w:val="8"/>
        <w:rPr>
          <w:rFonts w:hint="default"/>
          <w:u w:val="none"/>
          <w:lang w:val="en-US" w:eastAsia="zh-CN"/>
        </w:rPr>
      </w:pPr>
    </w:p>
    <w:p w14:paraId="796BBB9E">
      <w:pPr>
        <w:pStyle w:val="9"/>
        <w:jc w:val="center"/>
        <w:rPr>
          <w:rFonts w:hint="default" w:ascii="黑体" w:hAnsi="黑体" w:eastAsia="黑体" w:cs="黑体"/>
          <w:sz w:val="32"/>
          <w:szCs w:val="32"/>
          <w:u w:val="none"/>
          <w:lang w:val="en-US" w:eastAsia="zh-CN"/>
        </w:rPr>
      </w:pPr>
      <w:r>
        <w:rPr>
          <w:rFonts w:hint="eastAsia" w:ascii="黑体" w:hAnsi="黑体" w:eastAsia="黑体" w:cs="黑体"/>
          <w:sz w:val="32"/>
          <w:szCs w:val="32"/>
          <w:u w:val="none"/>
        </w:rPr>
        <w:t>科技重大专项申报选题表（</w:t>
      </w:r>
      <w:r>
        <w:rPr>
          <w:rFonts w:hint="eastAsia" w:ascii="黑体" w:hAnsi="黑体" w:eastAsia="黑体" w:cs="黑体"/>
          <w:sz w:val="32"/>
          <w:szCs w:val="32"/>
          <w:u w:val="none"/>
          <w:lang w:eastAsia="zh-CN"/>
        </w:rPr>
        <w:t>九</w:t>
      </w:r>
      <w:r>
        <w:rPr>
          <w:rFonts w:hint="eastAsia" w:ascii="黑体" w:hAnsi="黑体" w:eastAsia="黑体" w:cs="黑体"/>
          <w:sz w:val="32"/>
          <w:szCs w:val="32"/>
          <w:u w:val="none"/>
        </w:rPr>
        <w:t>）指南代码</w:t>
      </w:r>
      <w:r>
        <w:rPr>
          <w:rFonts w:ascii="黑体" w:hAnsi="黑体" w:eastAsia="黑体" w:cs="黑体"/>
          <w:sz w:val="32"/>
          <w:szCs w:val="32"/>
          <w:u w:val="none"/>
        </w:rPr>
        <w:t>202</w:t>
      </w:r>
      <w:r>
        <w:rPr>
          <w:rFonts w:hint="eastAsia" w:ascii="黑体" w:hAnsi="黑体" w:eastAsia="黑体" w:cs="黑体"/>
          <w:sz w:val="32"/>
          <w:szCs w:val="32"/>
          <w:u w:val="none"/>
          <w:lang w:val="en-US" w:eastAsia="zh-CN"/>
        </w:rPr>
        <w:t>6YZ0101</w:t>
      </w:r>
    </w:p>
    <w:tbl>
      <w:tblPr>
        <w:tblStyle w:val="12"/>
        <w:tblW w:w="9429" w:type="dxa"/>
        <w:tblInd w:w="-1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70"/>
        <w:gridCol w:w="1314"/>
        <w:gridCol w:w="3742"/>
        <w:gridCol w:w="1447"/>
        <w:gridCol w:w="1556"/>
      </w:tblGrid>
      <w:tr w14:paraId="72DA2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9" w:hRule="atLeast"/>
        </w:trPr>
        <w:tc>
          <w:tcPr>
            <w:tcW w:w="1370" w:type="dxa"/>
            <w:tcBorders>
              <w:top w:val="single" w:color="auto" w:sz="4" w:space="0"/>
              <w:left w:val="single" w:color="auto" w:sz="4" w:space="0"/>
              <w:bottom w:val="single" w:color="auto" w:sz="4" w:space="0"/>
              <w:right w:val="single" w:color="auto" w:sz="4" w:space="0"/>
            </w:tcBorders>
            <w:vAlign w:val="center"/>
          </w:tcPr>
          <w:p w14:paraId="30BBA70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bCs/>
                <w:kern w:val="0"/>
                <w:sz w:val="24"/>
                <w:szCs w:val="24"/>
                <w:u w:val="none"/>
              </w:rPr>
            </w:pPr>
            <w:r>
              <w:rPr>
                <w:rFonts w:hint="eastAsia" w:ascii="黑体" w:hAnsi="黑体" w:eastAsia="黑体" w:cs="黑体"/>
                <w:bCs/>
                <w:kern w:val="0"/>
                <w:sz w:val="24"/>
                <w:szCs w:val="24"/>
                <w:u w:val="none"/>
              </w:rPr>
              <w:t>所属重大专项名称</w:t>
            </w:r>
          </w:p>
        </w:tc>
        <w:tc>
          <w:tcPr>
            <w:tcW w:w="1314" w:type="dxa"/>
            <w:tcBorders>
              <w:top w:val="single" w:color="auto" w:sz="4" w:space="0"/>
              <w:left w:val="single" w:color="auto" w:sz="4" w:space="0"/>
              <w:bottom w:val="single" w:color="auto" w:sz="4" w:space="0"/>
              <w:right w:val="single" w:color="auto" w:sz="4" w:space="0"/>
            </w:tcBorders>
            <w:vAlign w:val="center"/>
          </w:tcPr>
          <w:p w14:paraId="07E2A27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sz w:val="24"/>
                <w:szCs w:val="24"/>
                <w:u w:val="none"/>
              </w:rPr>
            </w:pPr>
            <w:r>
              <w:rPr>
                <w:rFonts w:hint="eastAsia" w:ascii="黑体" w:hAnsi="黑体" w:eastAsia="黑体" w:cs="黑体"/>
                <w:sz w:val="24"/>
                <w:szCs w:val="24"/>
                <w:u w:val="none"/>
              </w:rPr>
              <w:t>选题</w:t>
            </w:r>
          </w:p>
          <w:p w14:paraId="6A8AC89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sz w:val="24"/>
                <w:szCs w:val="24"/>
                <w:u w:val="none"/>
              </w:rPr>
            </w:pPr>
            <w:r>
              <w:rPr>
                <w:rFonts w:hint="eastAsia" w:ascii="黑体" w:hAnsi="黑体" w:eastAsia="黑体" w:cs="黑体"/>
                <w:sz w:val="24"/>
                <w:szCs w:val="24"/>
                <w:u w:val="none"/>
              </w:rPr>
              <w:t>方向</w:t>
            </w:r>
          </w:p>
        </w:tc>
        <w:tc>
          <w:tcPr>
            <w:tcW w:w="3742" w:type="dxa"/>
            <w:tcBorders>
              <w:top w:val="single" w:color="auto" w:sz="4" w:space="0"/>
              <w:left w:val="single" w:color="auto" w:sz="4" w:space="0"/>
              <w:bottom w:val="single" w:color="auto" w:sz="4" w:space="0"/>
              <w:right w:val="single" w:color="auto" w:sz="4" w:space="0"/>
            </w:tcBorders>
            <w:vAlign w:val="center"/>
          </w:tcPr>
          <w:p w14:paraId="5921466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sz w:val="24"/>
                <w:szCs w:val="24"/>
                <w:u w:val="none"/>
              </w:rPr>
            </w:pPr>
            <w:r>
              <w:rPr>
                <w:rFonts w:hint="eastAsia" w:ascii="黑体" w:hAnsi="黑体" w:eastAsia="黑体" w:cs="黑体"/>
                <w:sz w:val="24"/>
                <w:szCs w:val="24"/>
                <w:u w:val="none"/>
              </w:rPr>
              <w:t>选题方向重点内容</w:t>
            </w:r>
          </w:p>
        </w:tc>
        <w:tc>
          <w:tcPr>
            <w:tcW w:w="1447" w:type="dxa"/>
            <w:tcBorders>
              <w:top w:val="single" w:color="auto" w:sz="4" w:space="0"/>
              <w:left w:val="single" w:color="auto" w:sz="4" w:space="0"/>
              <w:bottom w:val="single" w:color="auto" w:sz="4" w:space="0"/>
              <w:right w:val="single" w:color="auto" w:sz="4" w:space="0"/>
            </w:tcBorders>
            <w:vAlign w:val="center"/>
          </w:tcPr>
          <w:p w14:paraId="2C65EB2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sz w:val="24"/>
                <w:szCs w:val="24"/>
                <w:u w:val="none"/>
              </w:rPr>
            </w:pPr>
            <w:r>
              <w:rPr>
                <w:rFonts w:hint="eastAsia" w:ascii="黑体" w:hAnsi="黑体" w:eastAsia="黑体" w:cs="黑体"/>
                <w:sz w:val="24"/>
                <w:szCs w:val="24"/>
                <w:u w:val="none"/>
                <w:lang w:eastAsia="zh-CN"/>
              </w:rPr>
              <w:t>最高</w:t>
            </w:r>
            <w:r>
              <w:rPr>
                <w:rFonts w:hint="eastAsia" w:ascii="黑体" w:hAnsi="黑体" w:eastAsia="黑体" w:cs="黑体"/>
                <w:sz w:val="24"/>
                <w:szCs w:val="24"/>
                <w:u w:val="none"/>
              </w:rPr>
              <w:t>申请资助经费</w:t>
            </w:r>
          </w:p>
          <w:p w14:paraId="12B2960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sz w:val="24"/>
                <w:szCs w:val="24"/>
                <w:u w:val="none"/>
              </w:rPr>
            </w:pPr>
            <w:r>
              <w:rPr>
                <w:rFonts w:hint="eastAsia" w:ascii="黑体" w:hAnsi="黑体" w:eastAsia="黑体" w:cs="黑体"/>
                <w:sz w:val="24"/>
                <w:szCs w:val="24"/>
                <w:u w:val="none"/>
              </w:rPr>
              <w:t>（万元）</w:t>
            </w:r>
          </w:p>
        </w:tc>
        <w:tc>
          <w:tcPr>
            <w:tcW w:w="1556" w:type="dxa"/>
            <w:tcBorders>
              <w:top w:val="single" w:color="auto" w:sz="4" w:space="0"/>
              <w:left w:val="single" w:color="auto" w:sz="4" w:space="0"/>
              <w:bottom w:val="single" w:color="auto" w:sz="4" w:space="0"/>
              <w:right w:val="single" w:color="auto" w:sz="4" w:space="0"/>
            </w:tcBorders>
            <w:vAlign w:val="center"/>
          </w:tcPr>
          <w:p w14:paraId="7269870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sz w:val="24"/>
                <w:szCs w:val="24"/>
                <w:u w:val="none"/>
              </w:rPr>
            </w:pPr>
            <w:r>
              <w:rPr>
                <w:rFonts w:hint="eastAsia" w:ascii="仿宋_GB2312" w:hAnsi="仿宋_GB2312" w:eastAsia="仿宋_GB2312" w:cs="仿宋_GB2312"/>
                <w:b/>
                <w:sz w:val="24"/>
                <w:szCs w:val="24"/>
                <w:u w:val="none"/>
              </w:rPr>
              <w:t>要求</w:t>
            </w:r>
          </w:p>
        </w:tc>
      </w:tr>
      <w:tr w14:paraId="0590D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9" w:hRule="atLeast"/>
        </w:trPr>
        <w:tc>
          <w:tcPr>
            <w:tcW w:w="1370" w:type="dxa"/>
            <w:tcBorders>
              <w:top w:val="single" w:color="auto" w:sz="4" w:space="0"/>
              <w:left w:val="single" w:color="auto" w:sz="4" w:space="0"/>
              <w:bottom w:val="single" w:color="auto" w:sz="4" w:space="0"/>
              <w:right w:val="single" w:color="auto" w:sz="4" w:space="0"/>
            </w:tcBorders>
            <w:vAlign w:val="center"/>
          </w:tcPr>
          <w:p w14:paraId="7B38FCEC">
            <w:pPr>
              <w:keepNext w:val="0"/>
              <w:keepLines w:val="0"/>
              <w:pageBreakBefore w:val="0"/>
              <w:kinsoku/>
              <w:wordWrap/>
              <w:overflowPunct/>
              <w:topLinePunct w:val="0"/>
              <w:autoSpaceDE/>
              <w:autoSpaceDN/>
              <w:bidi w:val="0"/>
              <w:adjustRightInd/>
              <w:snapToGrid w:val="0"/>
              <w:spacing w:line="400" w:lineRule="exact"/>
              <w:jc w:val="center"/>
              <w:textAlignment w:val="auto"/>
              <w:rPr>
                <w:rFonts w:hint="eastAsia" w:ascii="仿宋_GB2312" w:hAnsi="宋体" w:eastAsia="仿宋_GB2312" w:cs="宋体"/>
                <w:bCs/>
                <w:kern w:val="0"/>
                <w:sz w:val="24"/>
                <w:szCs w:val="24"/>
                <w:u w:val="none"/>
                <w:lang w:eastAsia="zh-CN"/>
              </w:rPr>
            </w:pPr>
            <w:r>
              <w:rPr>
                <w:rFonts w:hint="eastAsia" w:ascii="仿宋_GB2312" w:hAnsi="仿宋_GB2312" w:cs="仿宋_GB2312"/>
                <w:b w:val="0"/>
                <w:sz w:val="24"/>
                <w:szCs w:val="24"/>
                <w:u w:val="none"/>
                <w:lang w:eastAsia="zh-CN"/>
              </w:rPr>
              <w:t>脑机接口技术</w:t>
            </w:r>
          </w:p>
        </w:tc>
        <w:tc>
          <w:tcPr>
            <w:tcW w:w="1314" w:type="dxa"/>
            <w:tcBorders>
              <w:top w:val="single" w:color="auto" w:sz="4" w:space="0"/>
              <w:left w:val="single" w:color="auto" w:sz="4" w:space="0"/>
              <w:bottom w:val="single" w:color="auto" w:sz="4" w:space="0"/>
              <w:right w:val="single" w:color="auto" w:sz="4" w:space="0"/>
            </w:tcBorders>
            <w:vAlign w:val="center"/>
          </w:tcPr>
          <w:p w14:paraId="27245985">
            <w:pPr>
              <w:keepNext w:val="0"/>
              <w:keepLines w:val="0"/>
              <w:pageBreakBefore w:val="0"/>
              <w:kinsoku/>
              <w:wordWrap/>
              <w:overflowPunct/>
              <w:topLinePunct w:val="0"/>
              <w:autoSpaceDE/>
              <w:autoSpaceDN/>
              <w:bidi w:val="0"/>
              <w:adjustRightInd/>
              <w:snapToGrid w:val="0"/>
              <w:spacing w:line="400" w:lineRule="exact"/>
              <w:jc w:val="center"/>
              <w:textAlignment w:val="auto"/>
              <w:rPr>
                <w:rFonts w:hint="eastAsia" w:ascii="仿宋_GB2312" w:eastAsia="仿宋_GB2312"/>
                <w:sz w:val="24"/>
                <w:szCs w:val="24"/>
                <w:u w:val="none"/>
              </w:rPr>
            </w:pPr>
            <w:r>
              <w:rPr>
                <w:rFonts w:ascii="仿宋_GB2312" w:hAnsi="仿宋_GB2312" w:eastAsia="仿宋_GB2312" w:cs="仿宋_GB2312"/>
                <w:b w:val="0"/>
                <w:sz w:val="24"/>
                <w:szCs w:val="24"/>
                <w:u w:val="none"/>
              </w:rPr>
              <w:t>孤独症非侵入式脑机接口应用示范</w:t>
            </w:r>
          </w:p>
        </w:tc>
        <w:tc>
          <w:tcPr>
            <w:tcW w:w="3742" w:type="dxa"/>
            <w:tcBorders>
              <w:top w:val="single" w:color="auto" w:sz="4" w:space="0"/>
              <w:left w:val="single" w:color="auto" w:sz="4" w:space="0"/>
              <w:bottom w:val="single" w:color="auto" w:sz="4" w:space="0"/>
              <w:right w:val="single" w:color="auto" w:sz="4" w:space="0"/>
            </w:tcBorders>
            <w:vAlign w:val="top"/>
          </w:tcPr>
          <w:p w14:paraId="14C54431">
            <w:pPr>
              <w:pStyle w:val="17"/>
              <w:keepNext w:val="0"/>
              <w:keepLines w:val="0"/>
              <w:pageBreakBefore w:val="0"/>
              <w:kinsoku/>
              <w:wordWrap/>
              <w:overflowPunct/>
              <w:topLinePunct w:val="0"/>
              <w:autoSpaceDE/>
              <w:autoSpaceDN/>
              <w:bidi w:val="0"/>
              <w:adjustRightInd/>
              <w:snapToGrid w:val="0"/>
              <w:spacing w:line="400" w:lineRule="exact"/>
              <w:ind w:firstLine="514" w:firstLineChars="200"/>
              <w:textAlignment w:val="auto"/>
              <w:rPr>
                <w:color w:val="000000" w:themeColor="text1"/>
                <w:sz w:val="24"/>
                <w:szCs w:val="24"/>
                <w:u w:val="none"/>
                <w14:textFill>
                  <w14:solidFill>
                    <w14:schemeClr w14:val="tx1"/>
                  </w14:solidFill>
                </w14:textFill>
              </w:rPr>
            </w:pPr>
            <w:r>
              <w:rPr>
                <w:rFonts w:ascii="仿宋_GB2312" w:hAnsi="仿宋_GB2312" w:eastAsia="仿宋_GB2312" w:cs="仿宋_GB2312"/>
                <w:b/>
                <w:color w:val="000000" w:themeColor="text1"/>
                <w:sz w:val="24"/>
                <w:szCs w:val="24"/>
                <w:u w:val="none"/>
                <w14:textFill>
                  <w14:solidFill>
                    <w14:schemeClr w14:val="tx1"/>
                  </w14:solidFill>
                </w14:textFill>
              </w:rPr>
              <w:t>一、主要研发内容</w:t>
            </w:r>
          </w:p>
          <w:p w14:paraId="2EC59278">
            <w:pPr>
              <w:pStyle w:val="17"/>
              <w:keepNext w:val="0"/>
              <w:keepLines w:val="0"/>
              <w:pageBreakBefore w:val="0"/>
              <w:kinsoku/>
              <w:wordWrap/>
              <w:overflowPunct/>
              <w:topLinePunct w:val="0"/>
              <w:autoSpaceDE/>
              <w:autoSpaceDN/>
              <w:bidi w:val="0"/>
              <w:adjustRightInd/>
              <w:snapToGrid w:val="0"/>
              <w:spacing w:line="400" w:lineRule="exact"/>
              <w:ind w:firstLine="514" w:firstLineChars="200"/>
              <w:textAlignment w:val="auto"/>
              <w:rPr>
                <w:rFonts w:ascii="仿宋_GB2312" w:hAnsi="仿宋_GB2312" w:eastAsia="仿宋_GB2312" w:cs="仿宋_GB2312"/>
                <w:b w:val="0"/>
                <w:color w:val="000000" w:themeColor="text1"/>
                <w:sz w:val="24"/>
                <w:szCs w:val="24"/>
                <w:u w:val="none"/>
                <w14:textFill>
                  <w14:solidFill>
                    <w14:schemeClr w14:val="tx1"/>
                  </w14:solidFill>
                </w14:textFill>
              </w:rPr>
            </w:pPr>
            <w:r>
              <w:rPr>
                <w:rFonts w:ascii="仿宋_GB2312" w:hAnsi="仿宋_GB2312" w:eastAsia="仿宋_GB2312" w:cs="仿宋_GB2312"/>
                <w:b w:val="0"/>
                <w:color w:val="000000" w:themeColor="text1"/>
                <w:sz w:val="24"/>
                <w:szCs w:val="24"/>
                <w:u w:val="none"/>
                <w14:textFill>
                  <w14:solidFill>
                    <w14:schemeClr w14:val="tx1"/>
                  </w14:solidFill>
                </w14:textFill>
              </w:rPr>
              <w:t>1.围绕孤独症儿童早期筛查</w:t>
            </w:r>
            <w:r>
              <w:rPr>
                <w:rFonts w:hint="eastAsia" w:ascii="仿宋_GB2312" w:hAnsi="仿宋_GB2312" w:eastAsia="仿宋_GB2312" w:cs="仿宋_GB2312"/>
                <w:b w:val="0"/>
                <w:color w:val="000000" w:themeColor="text1"/>
                <w:sz w:val="24"/>
                <w:szCs w:val="24"/>
                <w:u w:val="none"/>
                <w14:textFill>
                  <w14:solidFill>
                    <w14:schemeClr w14:val="tx1"/>
                  </w14:solidFill>
                </w14:textFill>
              </w:rPr>
              <w:t>、辅助诊断</w:t>
            </w:r>
            <w:r>
              <w:rPr>
                <w:rFonts w:ascii="仿宋_GB2312" w:hAnsi="仿宋_GB2312" w:eastAsia="仿宋_GB2312" w:cs="仿宋_GB2312"/>
                <w:b w:val="0"/>
                <w:color w:val="000000" w:themeColor="text1"/>
                <w:sz w:val="24"/>
                <w:szCs w:val="24"/>
                <w:u w:val="none"/>
                <w14:textFill>
                  <w14:solidFill>
                    <w14:schemeClr w14:val="tx1"/>
                  </w14:solidFill>
                </w14:textFill>
              </w:rPr>
              <w:t>与脑功能评估需求，建立</w:t>
            </w:r>
            <w:r>
              <w:rPr>
                <w:rFonts w:hint="eastAsia" w:ascii="仿宋_GB2312" w:hAnsi="仿宋_GB2312" w:eastAsia="仿宋_GB2312" w:cs="仿宋_GB2312"/>
                <w:b w:val="0"/>
                <w:color w:val="000000" w:themeColor="text1"/>
                <w:sz w:val="24"/>
                <w:szCs w:val="24"/>
                <w:u w:val="none"/>
                <w:lang w:val="en-US" w:eastAsia="zh-CN"/>
                <w14:textFill>
                  <w14:solidFill>
                    <w14:schemeClr w14:val="tx1"/>
                  </w14:solidFill>
                </w14:textFill>
              </w:rPr>
              <w:t>儿童</w:t>
            </w:r>
            <w:r>
              <w:rPr>
                <w:rFonts w:ascii="仿宋_GB2312" w:hAnsi="仿宋_GB2312" w:eastAsia="仿宋_GB2312" w:cs="仿宋_GB2312"/>
                <w:b w:val="0"/>
                <w:color w:val="000000" w:themeColor="text1"/>
                <w:sz w:val="24"/>
                <w:szCs w:val="24"/>
                <w:u w:val="none"/>
                <w14:textFill>
                  <w14:solidFill>
                    <w14:schemeClr w14:val="tx1"/>
                  </w14:solidFill>
                </w14:textFill>
              </w:rPr>
              <w:t>多中心脑电、脑影像、临床量表、发育评估、康复训练及随访数据库，形成统一采集、质控、数据结构和安全管理规范。</w:t>
            </w:r>
            <w:r>
              <w:rPr>
                <w:rFonts w:hint="eastAsia" w:ascii="仿宋_GB2312" w:hAnsi="仿宋_GB2312" w:eastAsia="仿宋_GB2312" w:cs="仿宋_GB2312"/>
                <w:b w:val="0"/>
                <w:color w:val="000000" w:themeColor="text1"/>
                <w:sz w:val="24"/>
                <w:szCs w:val="24"/>
                <w:u w:val="none"/>
                <w14:textFill>
                  <w14:solidFill>
                    <w14:schemeClr w14:val="tx1"/>
                  </w14:solidFill>
                </w14:textFill>
              </w:rPr>
              <w:t>建立覆盖不同语言能力水平的孤独症儿童言语语言多模态数据库，包含音视频、专业评估及人工标注数据。构建覆盖基频与语调、发声稳定性、嗓音质量、语速与节律、元音空间、辅音构音及口部轮替的多维参数体系，实现≥30项参数的自动提取或辅助量化分析。重点包括基频变异、Jitter、Shimmer、NNE、CPPS、停顿比例、nPVI、VSA、FCR、F2IU、VOT、辅音频谱特征和DDK速率</w:t>
            </w:r>
          </w:p>
          <w:p w14:paraId="4797D986">
            <w:pPr>
              <w:pStyle w:val="17"/>
              <w:keepNext w:val="0"/>
              <w:keepLines w:val="0"/>
              <w:pageBreakBefore w:val="0"/>
              <w:kinsoku/>
              <w:wordWrap/>
              <w:overflowPunct/>
              <w:topLinePunct w:val="0"/>
              <w:autoSpaceDE/>
              <w:autoSpaceDN/>
              <w:bidi w:val="0"/>
              <w:adjustRightInd/>
              <w:snapToGrid w:val="0"/>
              <w:spacing w:line="400" w:lineRule="exact"/>
              <w:ind w:firstLine="514" w:firstLineChars="200"/>
              <w:textAlignment w:val="auto"/>
              <w:rPr>
                <w:rFonts w:ascii="仿宋_GB2312" w:hAnsi="仿宋_GB2312" w:eastAsia="仿宋_GB2312" w:cs="仿宋_GB2312"/>
                <w:b w:val="0"/>
                <w:color w:val="000000" w:themeColor="text1"/>
                <w:sz w:val="24"/>
                <w:szCs w:val="24"/>
                <w:u w:val="none"/>
                <w14:textFill>
                  <w14:solidFill>
                    <w14:schemeClr w14:val="tx1"/>
                  </w14:solidFill>
                </w14:textFill>
              </w:rPr>
            </w:pPr>
            <w:r>
              <w:rPr>
                <w:rFonts w:hint="eastAsia" w:ascii="仿宋_GB2312" w:hAnsi="仿宋_GB2312" w:eastAsia="仿宋_GB2312" w:cs="仿宋_GB2312"/>
                <w:b w:val="0"/>
                <w:color w:val="000000" w:themeColor="text1"/>
                <w:sz w:val="24"/>
                <w:szCs w:val="24"/>
                <w:u w:val="none"/>
                <w:lang w:val="en-US" w:eastAsia="zh-CN"/>
                <w14:textFill>
                  <w14:solidFill>
                    <w14:schemeClr w14:val="tx1"/>
                  </w14:solidFill>
                </w14:textFill>
              </w:rPr>
              <w:t>2.基于可穿戴主动式干电极脑电采集，开展孤独症儿童脑电特征提取及与社交沟通、语言、注意、情绪行为等临床表现的关联分析，构建基于孤独症与典型发育儿童脑电差异特征的智能辅助诊断模型，建立涵盖脑活动水平、组织调节、神经复杂度、神经稳定性、认知节律、注意执行及脑网络协同等七大维度的脑功能量化评估体系，实现风险识别、功能维度评分、常模百分位评价、异常提示及可视化报告生成。</w:t>
            </w:r>
          </w:p>
          <w:p w14:paraId="367F5E5C">
            <w:pPr>
              <w:pStyle w:val="17"/>
              <w:keepNext w:val="0"/>
              <w:keepLines w:val="0"/>
              <w:pageBreakBefore w:val="0"/>
              <w:kinsoku/>
              <w:wordWrap/>
              <w:overflowPunct/>
              <w:topLinePunct w:val="0"/>
              <w:autoSpaceDE/>
              <w:autoSpaceDN/>
              <w:bidi w:val="0"/>
              <w:adjustRightInd/>
              <w:snapToGrid w:val="0"/>
              <w:spacing w:line="400" w:lineRule="exact"/>
              <w:ind w:firstLine="514" w:firstLineChars="200"/>
              <w:textAlignment w:val="auto"/>
              <w:rPr>
                <w:color w:val="000000" w:themeColor="text1"/>
                <w:sz w:val="24"/>
                <w:szCs w:val="24"/>
                <w:u w:val="none"/>
                <w14:textFill>
                  <w14:solidFill>
                    <w14:schemeClr w14:val="tx1"/>
                  </w14:solidFill>
                </w14:textFill>
              </w:rPr>
            </w:pPr>
            <w:r>
              <w:rPr>
                <w:rFonts w:hint="eastAsia" w:ascii="仿宋_GB2312" w:hAnsi="仿宋_GB2312" w:eastAsia="仿宋_GB2312" w:cs="仿宋_GB2312"/>
                <w:b w:val="0"/>
                <w:color w:val="000000" w:themeColor="text1"/>
                <w:sz w:val="24"/>
                <w:szCs w:val="24"/>
                <w:u w:val="none"/>
                <w:lang w:val="en-US" w:eastAsia="zh-CN"/>
                <w14:textFill>
                  <w14:solidFill>
                    <w14:schemeClr w14:val="tx1"/>
                  </w14:solidFill>
                </w14:textFill>
              </w:rPr>
              <w:t>3.融合多通道脑电与个体磁共振脑影像，研究异常脑区及脑网络识别、个体化康复干预靶点生成、刺激阈值与刺激参数确定方法，形成面向临床的个体化干预方案。</w:t>
            </w:r>
          </w:p>
          <w:p w14:paraId="4F67B126">
            <w:pPr>
              <w:pStyle w:val="17"/>
              <w:keepNext w:val="0"/>
              <w:keepLines w:val="0"/>
              <w:pageBreakBefore w:val="0"/>
              <w:kinsoku/>
              <w:wordWrap/>
              <w:overflowPunct/>
              <w:topLinePunct w:val="0"/>
              <w:autoSpaceDE/>
              <w:autoSpaceDN/>
              <w:bidi w:val="0"/>
              <w:adjustRightInd/>
              <w:snapToGrid w:val="0"/>
              <w:spacing w:line="400" w:lineRule="exact"/>
              <w:ind w:firstLine="514" w:firstLineChars="200"/>
              <w:textAlignment w:val="auto"/>
              <w:rPr>
                <w:rFonts w:hint="eastAsia" w:ascii="仿宋_GB2312" w:hAnsi="仿宋_GB2312" w:eastAsia="仿宋_GB2312" w:cs="仿宋_GB2312"/>
                <w:b w:val="0"/>
                <w:color w:val="000000" w:themeColor="text1"/>
                <w:sz w:val="24"/>
                <w:szCs w:val="24"/>
                <w:u w:val="none"/>
                <w:lang w:val="en-US" w:eastAsia="zh-CN"/>
                <w14:textFill>
                  <w14:solidFill>
                    <w14:schemeClr w14:val="tx1"/>
                  </w14:solidFill>
                </w14:textFill>
              </w:rPr>
            </w:pPr>
            <w:r>
              <w:rPr>
                <w:rFonts w:hint="eastAsia" w:ascii="仿宋_GB2312" w:hAnsi="仿宋_GB2312" w:eastAsia="仿宋_GB2312" w:cs="仿宋_GB2312"/>
                <w:b w:val="0"/>
                <w:color w:val="000000" w:themeColor="text1"/>
                <w:sz w:val="24"/>
                <w:szCs w:val="24"/>
                <w:u w:val="none"/>
                <w:lang w:val="en-US" w:eastAsia="zh-CN"/>
                <w14:textFill>
                  <w14:solidFill>
                    <w14:schemeClr w14:val="tx1"/>
                  </w14:solidFill>
                </w14:textFill>
              </w:rPr>
              <w:t>4.研发集脑电采集、孤独症智能分析、脑影像三维重建与导航、靶点定位、疗效复测和随访于一体的管控系统，开展“智能评估—精准干预—疗效复测—反馈优化”闭环验证及多中心临床应用示范。</w:t>
            </w:r>
          </w:p>
          <w:p w14:paraId="6C3AEBCD">
            <w:pPr>
              <w:pStyle w:val="17"/>
              <w:keepNext w:val="0"/>
              <w:keepLines w:val="0"/>
              <w:pageBreakBefore w:val="0"/>
              <w:kinsoku/>
              <w:wordWrap/>
              <w:overflowPunct/>
              <w:topLinePunct w:val="0"/>
              <w:autoSpaceDE/>
              <w:autoSpaceDN/>
              <w:bidi w:val="0"/>
              <w:adjustRightInd/>
              <w:snapToGrid w:val="0"/>
              <w:spacing w:line="400" w:lineRule="exact"/>
              <w:ind w:firstLine="514" w:firstLineChars="200"/>
              <w:textAlignment w:val="auto"/>
              <w:rPr>
                <w:color w:val="000000" w:themeColor="text1"/>
                <w:sz w:val="24"/>
                <w:szCs w:val="24"/>
                <w:u w:val="none"/>
                <w14:textFill>
                  <w14:solidFill>
                    <w14:schemeClr w14:val="tx1"/>
                  </w14:solidFill>
                </w14:textFill>
              </w:rPr>
            </w:pPr>
            <w:r>
              <w:rPr>
                <w:rFonts w:ascii="仿宋_GB2312" w:hAnsi="仿宋_GB2312" w:eastAsia="仿宋_GB2312" w:cs="仿宋_GB2312"/>
                <w:b/>
                <w:color w:val="000000" w:themeColor="text1"/>
                <w:sz w:val="24"/>
                <w:szCs w:val="24"/>
                <w:u w:val="none"/>
                <w14:textFill>
                  <w14:solidFill>
                    <w14:schemeClr w14:val="tx1"/>
                  </w14:solidFill>
                </w14:textFill>
              </w:rPr>
              <w:t>二、预期指标</w:t>
            </w:r>
          </w:p>
          <w:p w14:paraId="2180CDBE">
            <w:pPr>
              <w:pStyle w:val="17"/>
              <w:keepNext w:val="0"/>
              <w:keepLines w:val="0"/>
              <w:pageBreakBefore w:val="0"/>
              <w:kinsoku/>
              <w:wordWrap/>
              <w:overflowPunct/>
              <w:topLinePunct w:val="0"/>
              <w:autoSpaceDE/>
              <w:autoSpaceDN/>
              <w:bidi w:val="0"/>
              <w:adjustRightInd/>
              <w:snapToGrid w:val="0"/>
              <w:spacing w:line="400" w:lineRule="exact"/>
              <w:ind w:firstLine="514" w:firstLineChars="200"/>
              <w:textAlignment w:val="auto"/>
              <w:rPr>
                <w:rFonts w:ascii="仿宋_GB2312" w:hAnsi="仿宋_GB2312" w:eastAsia="仿宋_GB2312" w:cs="仿宋_GB2312"/>
                <w:b/>
                <w:bCs/>
                <w:color w:val="000000" w:themeColor="text1"/>
                <w:sz w:val="24"/>
                <w:szCs w:val="24"/>
                <w:u w:val="none"/>
                <w14:textFill>
                  <w14:solidFill>
                    <w14:schemeClr w14:val="tx1"/>
                  </w14:solidFill>
                </w14:textFill>
              </w:rPr>
            </w:pPr>
            <w:r>
              <w:rPr>
                <w:rFonts w:ascii="仿宋_GB2312" w:hAnsi="仿宋_GB2312" w:eastAsia="仿宋_GB2312" w:cs="仿宋_GB2312"/>
                <w:b/>
                <w:bCs/>
                <w:color w:val="000000" w:themeColor="text1"/>
                <w:sz w:val="24"/>
                <w:szCs w:val="24"/>
                <w:u w:val="none"/>
                <w14:textFill>
                  <w14:solidFill>
                    <w14:schemeClr w14:val="tx1"/>
                  </w14:solidFill>
                </w14:textFill>
              </w:rPr>
              <w:t>1.多中心数据库与临床示范</w:t>
            </w:r>
          </w:p>
          <w:p w14:paraId="1DE9B31A">
            <w:pPr>
              <w:pStyle w:val="17"/>
              <w:keepNext w:val="0"/>
              <w:keepLines w:val="0"/>
              <w:pageBreakBefore w:val="0"/>
              <w:kinsoku/>
              <w:wordWrap/>
              <w:overflowPunct/>
              <w:topLinePunct w:val="0"/>
              <w:autoSpaceDE/>
              <w:autoSpaceDN/>
              <w:bidi w:val="0"/>
              <w:adjustRightInd/>
              <w:snapToGrid w:val="0"/>
              <w:spacing w:line="400" w:lineRule="exact"/>
              <w:ind w:firstLine="514" w:firstLineChars="200"/>
              <w:textAlignment w:val="auto"/>
              <w:rPr>
                <w:rFonts w:hint="eastAsia" w:ascii="仿宋_GB2312" w:hAnsi="仿宋_GB2312" w:eastAsia="仿宋_GB2312" w:cs="仿宋_GB2312"/>
                <w:b w:val="0"/>
                <w:color w:val="000000" w:themeColor="text1"/>
                <w:sz w:val="24"/>
                <w:szCs w:val="24"/>
                <w:u w:val="none"/>
                <w:lang w:val="en-US" w:eastAsia="zh-CN"/>
                <w14:textFill>
                  <w14:solidFill>
                    <w14:schemeClr w14:val="tx1"/>
                  </w14:solidFill>
                </w14:textFill>
              </w:rPr>
            </w:pPr>
            <w:r>
              <w:rPr>
                <w:rFonts w:hint="eastAsia" w:ascii="仿宋_GB2312" w:hAnsi="仿宋_GB2312" w:eastAsia="仿宋_GB2312" w:cs="仿宋_GB2312"/>
                <w:b w:val="0"/>
                <w:color w:val="000000" w:themeColor="text1"/>
                <w:sz w:val="24"/>
                <w:szCs w:val="24"/>
                <w:u w:val="none"/>
                <w:lang w:val="en-US" w:eastAsia="zh-CN"/>
                <w14:textFill>
                  <w14:solidFill>
                    <w14:schemeClr w14:val="tx1"/>
                  </w14:solidFill>
                </w14:textFill>
              </w:rPr>
              <w:t>（1）建成孤独症儿童脑功能与康复随访数据库 1 套，累计采集脑功能及临床行为数据≥1000 例（确诊及高风险、典型发育对照各≥500 例），完成脑电数据采集≥1000 例、脑影像≥200 例、干预前后复测≥100 例，数据标准化率与字段完整率≥95%。</w:t>
            </w:r>
          </w:p>
          <w:p w14:paraId="6CB43638">
            <w:pPr>
              <w:pStyle w:val="17"/>
              <w:keepNext w:val="0"/>
              <w:keepLines w:val="0"/>
              <w:pageBreakBefore w:val="0"/>
              <w:kinsoku/>
              <w:wordWrap/>
              <w:overflowPunct/>
              <w:topLinePunct w:val="0"/>
              <w:autoSpaceDE/>
              <w:autoSpaceDN/>
              <w:bidi w:val="0"/>
              <w:adjustRightInd/>
              <w:snapToGrid w:val="0"/>
              <w:spacing w:line="400" w:lineRule="exact"/>
              <w:ind w:firstLine="514" w:firstLineChars="200"/>
              <w:textAlignment w:val="auto"/>
              <w:rPr>
                <w:rFonts w:hint="default" w:ascii="仿宋_GB2312" w:hAnsi="仿宋_GB2312" w:eastAsia="仿宋_GB2312" w:cs="仿宋_GB2312"/>
                <w:b w:val="0"/>
                <w:color w:val="000000" w:themeColor="text1"/>
                <w:sz w:val="24"/>
                <w:szCs w:val="24"/>
                <w:highlight w:val="none"/>
                <w:u w:val="none"/>
                <w:lang w:val="en-US" w:eastAsia="zh-CN"/>
                <w14:textFill>
                  <w14:solidFill>
                    <w14:schemeClr w14:val="tx1"/>
                  </w14:solidFill>
                </w14:textFill>
              </w:rPr>
            </w:pPr>
            <w:r>
              <w:rPr>
                <w:rFonts w:hint="eastAsia" w:ascii="仿宋_GB2312" w:hAnsi="仿宋_GB2312" w:eastAsia="仿宋_GB2312" w:cs="仿宋_GB2312"/>
                <w:b w:val="0"/>
                <w:color w:val="000000" w:themeColor="text1"/>
                <w:sz w:val="24"/>
                <w:szCs w:val="24"/>
                <w:u w:val="none"/>
                <w:lang w:val="en-US" w:eastAsia="zh-CN"/>
                <w14:textFill>
                  <w14:solidFill>
                    <w14:schemeClr w14:val="tx1"/>
                  </w14:solidFill>
                </w14:textFill>
              </w:rPr>
              <w:t>（2）建立覆盖2—6岁儿童的脑电发育常模数据库1套，涵盖脑电时频、非线性动力学及脑网络功能连接等多维特征，支持P5、P10、P25、P50、P75、P90、P95等至少7级百分位评价，实现个体脑功能异常偏离分析及纵向比较</w:t>
            </w:r>
            <w:r>
              <w:rPr>
                <w:rFonts w:hint="default" w:ascii="仿宋_GB2312" w:hAnsi="仿宋_GB2312" w:eastAsia="仿宋_GB2312" w:cs="仿宋_GB2312"/>
                <w:b w:val="0"/>
                <w:color w:val="000000" w:themeColor="text1"/>
                <w:sz w:val="24"/>
                <w:szCs w:val="24"/>
                <w:highlight w:val="none"/>
                <w:u w:val="none"/>
                <w:lang w:val="en-US" w:eastAsia="zh-CN"/>
                <w14:textFill>
                  <w14:solidFill>
                    <w14:schemeClr w14:val="tx1"/>
                  </w14:solidFill>
                </w14:textFill>
              </w:rPr>
              <w:t>，形成具有孤独症风险提示、辅助诊断、常模比较、脑功能可视化及历史结果纵向对比功能的智能评估报告。</w:t>
            </w:r>
          </w:p>
          <w:p w14:paraId="311223E4">
            <w:pPr>
              <w:pStyle w:val="17"/>
              <w:keepNext w:val="0"/>
              <w:keepLines w:val="0"/>
              <w:pageBreakBefore w:val="0"/>
              <w:kinsoku/>
              <w:wordWrap/>
              <w:overflowPunct/>
              <w:topLinePunct w:val="0"/>
              <w:autoSpaceDE/>
              <w:autoSpaceDN/>
              <w:bidi w:val="0"/>
              <w:adjustRightInd/>
              <w:snapToGrid w:val="0"/>
              <w:spacing w:line="400" w:lineRule="exact"/>
              <w:ind w:firstLine="514" w:firstLineChars="200"/>
              <w:textAlignment w:val="auto"/>
              <w:rPr>
                <w:rFonts w:ascii="仿宋_GB2312" w:hAnsi="仿宋_GB2312" w:eastAsia="仿宋_GB2312" w:cs="仿宋_GB2312"/>
                <w:b w:val="0"/>
                <w:color w:val="000000" w:themeColor="text1"/>
                <w:sz w:val="24"/>
                <w:szCs w:val="24"/>
                <w:highlight w:val="none"/>
                <w:u w:val="none"/>
                <w14:textFill>
                  <w14:solidFill>
                    <w14:schemeClr w14:val="tx1"/>
                  </w14:solidFill>
                </w14:textFill>
              </w:rPr>
            </w:pPr>
            <w:r>
              <w:rPr>
                <w:rFonts w:hint="eastAsia" w:ascii="仿宋_GB2312" w:hAnsi="仿宋_GB2312" w:eastAsia="仿宋_GB2312" w:cs="仿宋_GB2312"/>
                <w:b w:val="0"/>
                <w:color w:val="000000" w:themeColor="text1"/>
                <w:sz w:val="24"/>
                <w:szCs w:val="24"/>
                <w:highlight w:val="none"/>
                <w:u w:val="none"/>
                <w:lang w:eastAsia="zh-CN"/>
                <w14:textFill>
                  <w14:solidFill>
                    <w14:schemeClr w14:val="tx1"/>
                  </w14:solidFill>
                </w14:textFill>
              </w:rPr>
              <w:t>（</w:t>
            </w:r>
            <w:r>
              <w:rPr>
                <w:rFonts w:hint="eastAsia" w:ascii="仿宋_GB2312" w:hAnsi="仿宋_GB2312" w:eastAsia="仿宋_GB2312" w:cs="仿宋_GB2312"/>
                <w:b w:val="0"/>
                <w:color w:val="000000" w:themeColor="text1"/>
                <w:sz w:val="24"/>
                <w:szCs w:val="24"/>
                <w:highlight w:val="none"/>
                <w:u w:val="none"/>
                <w:lang w:val="en-US" w:eastAsia="zh-CN"/>
                <w14:textFill>
                  <w14:solidFill>
                    <w14:schemeClr w14:val="tx1"/>
                  </w14:solidFill>
                </w14:textFill>
              </w:rPr>
              <w:t>3</w:t>
            </w:r>
            <w:r>
              <w:rPr>
                <w:rFonts w:hint="eastAsia" w:ascii="仿宋_GB2312" w:hAnsi="仿宋_GB2312" w:eastAsia="仿宋_GB2312" w:cs="仿宋_GB2312"/>
                <w:b w:val="0"/>
                <w:color w:val="000000" w:themeColor="text1"/>
                <w:sz w:val="24"/>
                <w:szCs w:val="24"/>
                <w:highlight w:val="none"/>
                <w:u w:val="none"/>
                <w:lang w:eastAsia="zh-CN"/>
                <w14:textFill>
                  <w14:solidFill>
                    <w14:schemeClr w14:val="tx1"/>
                  </w14:solidFill>
                </w14:textFill>
              </w:rPr>
              <w:t>）孤独症儿童言语语言多模态数据库</w:t>
            </w:r>
            <w:r>
              <w:rPr>
                <w:rFonts w:hint="eastAsia" w:ascii="仿宋_GB2312" w:hAnsi="仿宋_GB2312" w:eastAsia="仿宋_GB2312" w:cs="仿宋_GB2312"/>
                <w:b w:val="0"/>
                <w:color w:val="000000" w:themeColor="text1"/>
                <w:sz w:val="24"/>
                <w:szCs w:val="24"/>
                <w:highlight w:val="none"/>
                <w:u w:val="none"/>
                <w:lang w:val="en-US" w:eastAsia="zh-CN"/>
                <w14:textFill>
                  <w14:solidFill>
                    <w14:schemeClr w14:val="tx1"/>
                  </w14:solidFill>
                </w14:textFill>
              </w:rPr>
              <w:t>1套，</w:t>
            </w:r>
            <w:r>
              <w:rPr>
                <w:rFonts w:hint="eastAsia" w:ascii="仿宋_GB2312" w:hAnsi="仿宋_GB2312" w:eastAsia="仿宋_GB2312" w:cs="仿宋_GB2312"/>
                <w:b w:val="0"/>
                <w:color w:val="000000" w:themeColor="text1"/>
                <w:sz w:val="24"/>
                <w:szCs w:val="24"/>
                <w:highlight w:val="none"/>
                <w:u w:val="none"/>
                <w14:textFill>
                  <w14:solidFill>
                    <w14:schemeClr w14:val="tx1"/>
                  </w14:solidFill>
                </w14:textFill>
              </w:rPr>
              <w:t>研制言语语言智能评估原型系统1套，</w:t>
            </w:r>
            <w:r>
              <w:rPr>
                <w:rFonts w:hint="eastAsia" w:ascii="仿宋_GB2312" w:hAnsi="仿宋_GB2312" w:eastAsia="仿宋_GB2312" w:cs="仿宋_GB2312"/>
                <w:b w:val="0"/>
                <w:color w:val="000000" w:themeColor="text1"/>
                <w:sz w:val="24"/>
                <w:szCs w:val="24"/>
                <w:highlight w:val="none"/>
                <w:u w:val="none"/>
                <w:lang w:val="en-US" w:eastAsia="zh-CN"/>
                <w14:textFill>
                  <w14:solidFill>
                    <w14:schemeClr w14:val="tx1"/>
                  </w14:solidFill>
                </w14:textFill>
              </w:rPr>
              <w:t>采集≥200例数据，</w:t>
            </w:r>
            <w:r>
              <w:rPr>
                <w:rFonts w:hint="eastAsia" w:ascii="仿宋_GB2312" w:hAnsi="仿宋_GB2312" w:eastAsia="仿宋_GB2312" w:cs="仿宋_GB2312"/>
                <w:b w:val="0"/>
                <w:color w:val="000000" w:themeColor="text1"/>
                <w:sz w:val="24"/>
                <w:szCs w:val="24"/>
                <w:highlight w:val="none"/>
                <w:u w:val="none"/>
                <w14:textFill>
                  <w14:solidFill>
                    <w14:schemeClr w14:val="tx1"/>
                  </w14:solidFill>
                </w14:textFill>
              </w:rPr>
              <w:t>支持自动分析、分项评分、可视化报告及历史结果比较。在约定硬件和并发条件下，对单名儿童≤20分钟的标准任务数据，自动分析及报告生成耗时≤5分钟。实现儿童语音活动及核心沟通行为自动识别，儿童语音活动检出F1值≥0.90；沟通发起、互动回应等预先定义行为的识别宏平均F1值≥0.80。建立言语清晰度、表达语言和互动沟通等分项评分模型，主要评分维度与独立专业人员参考评分的绝对一致性ICC≥0.80，</w:t>
            </w:r>
            <w:r>
              <w:rPr>
                <w:rFonts w:hint="eastAsia" w:ascii="仿宋_GB2312" w:hAnsi="仿宋_GB2312" w:eastAsia="仿宋_GB2312" w:cs="仿宋_GB2312"/>
                <w:b w:val="0"/>
                <w:color w:val="000000" w:themeColor="text1"/>
                <w:sz w:val="24"/>
                <w:szCs w:val="24"/>
                <w:highlight w:val="none"/>
                <w:u w:val="none"/>
                <w:lang w:val="en-US" w:eastAsia="zh-CN"/>
                <w14:textFill>
                  <w14:solidFill>
                    <w14:schemeClr w14:val="tx1"/>
                  </w14:solidFill>
                </w14:textFill>
              </w:rPr>
              <w:t>并达到</w:t>
            </w:r>
            <w:r>
              <w:rPr>
                <w:rFonts w:hint="eastAsia" w:ascii="仿宋_GB2312" w:hAnsi="仿宋_GB2312" w:eastAsia="仿宋_GB2312" w:cs="仿宋_GB2312"/>
                <w:b w:val="0"/>
                <w:color w:val="000000" w:themeColor="text1"/>
                <w:sz w:val="24"/>
                <w:szCs w:val="24"/>
                <w:highlight w:val="none"/>
                <w:u w:val="none"/>
                <w14:textFill>
                  <w14:solidFill>
                    <w14:schemeClr w14:val="tx1"/>
                  </w14:solidFill>
                </w14:textFill>
              </w:rPr>
              <w:t>95%置信区间。</w:t>
            </w:r>
          </w:p>
          <w:p w14:paraId="4014B501">
            <w:pPr>
              <w:pStyle w:val="17"/>
              <w:keepNext w:val="0"/>
              <w:keepLines w:val="0"/>
              <w:pageBreakBefore w:val="0"/>
              <w:kinsoku/>
              <w:wordWrap/>
              <w:overflowPunct/>
              <w:topLinePunct w:val="0"/>
              <w:autoSpaceDE/>
              <w:autoSpaceDN/>
              <w:bidi w:val="0"/>
              <w:adjustRightInd/>
              <w:snapToGrid w:val="0"/>
              <w:spacing w:line="400" w:lineRule="exact"/>
              <w:ind w:firstLine="514" w:firstLineChars="200"/>
              <w:textAlignment w:val="auto"/>
              <w:rPr>
                <w:rFonts w:hint="eastAsia" w:ascii="仿宋_GB2312" w:hAnsi="仿宋_GB2312" w:eastAsia="仿宋_GB2312" w:cs="仿宋_GB2312"/>
                <w:b w:val="0"/>
                <w:color w:val="000000" w:themeColor="text1"/>
                <w:sz w:val="24"/>
                <w:szCs w:val="24"/>
                <w:highlight w:val="none"/>
                <w:u w:val="none"/>
                <w:lang w:eastAsia="zh-CN"/>
                <w14:textFill>
                  <w14:solidFill>
                    <w14:schemeClr w14:val="tx1"/>
                  </w14:solidFill>
                </w14:textFill>
              </w:rPr>
            </w:pPr>
            <w:r>
              <w:rPr>
                <w:rFonts w:ascii="仿宋_GB2312" w:hAnsi="仿宋_GB2312" w:eastAsia="仿宋_GB2312" w:cs="仿宋_GB2312"/>
                <w:b w:val="0"/>
                <w:color w:val="000000" w:themeColor="text1"/>
                <w:sz w:val="24"/>
                <w:szCs w:val="24"/>
                <w:u w:val="none"/>
                <w14:textFill>
                  <w14:solidFill>
                    <w14:schemeClr w14:val="tx1"/>
                  </w14:solidFill>
                </w14:textFill>
              </w:rPr>
              <w:t>（</w:t>
            </w:r>
            <w:r>
              <w:rPr>
                <w:rFonts w:hint="eastAsia" w:ascii="仿宋_GB2312" w:hAnsi="仿宋_GB2312" w:eastAsia="仿宋_GB2312" w:cs="仿宋_GB2312"/>
                <w:b w:val="0"/>
                <w:color w:val="000000" w:themeColor="text1"/>
                <w:sz w:val="24"/>
                <w:szCs w:val="24"/>
                <w:u w:val="none"/>
                <w:lang w:val="en-US" w:eastAsia="zh-CN"/>
                <w14:textFill>
                  <w14:solidFill>
                    <w14:schemeClr w14:val="tx1"/>
                  </w14:solidFill>
                </w14:textFill>
              </w:rPr>
              <w:t>4</w:t>
            </w:r>
            <w:r>
              <w:rPr>
                <w:rFonts w:ascii="仿宋_GB2312" w:hAnsi="仿宋_GB2312" w:eastAsia="仿宋_GB2312" w:cs="仿宋_GB2312"/>
                <w:b w:val="0"/>
                <w:color w:val="000000" w:themeColor="text1"/>
                <w:sz w:val="24"/>
                <w:szCs w:val="24"/>
                <w:u w:val="none"/>
                <w14:textFill>
                  <w14:solidFill>
                    <w14:schemeClr w14:val="tx1"/>
                  </w14:solidFill>
                </w14:textFill>
              </w:rPr>
              <w:t>）</w:t>
            </w:r>
            <w:r>
              <w:rPr>
                <w:rFonts w:hint="eastAsia" w:ascii="仿宋_GB2312" w:hAnsi="仿宋_GB2312" w:eastAsia="仿宋_GB2312" w:cs="仿宋_GB2312"/>
                <w:b w:val="0"/>
                <w:color w:val="000000" w:themeColor="text1"/>
                <w:sz w:val="24"/>
                <w:szCs w:val="24"/>
                <w:u w:val="none"/>
                <w14:textFill>
                  <w14:solidFill>
                    <w14:schemeClr w14:val="tx1"/>
                  </w14:solidFill>
                </w14:textFill>
              </w:rPr>
              <w:t xml:space="preserve">研发孤独症专病垂直应用模型 1 </w:t>
            </w:r>
            <w:r>
              <w:rPr>
                <w:rFonts w:hint="eastAsia" w:ascii="仿宋_GB2312" w:hAnsi="仿宋_GB2312" w:eastAsia="仿宋_GB2312" w:cs="仿宋_GB2312"/>
                <w:b w:val="0"/>
                <w:color w:val="000000" w:themeColor="text1"/>
                <w:sz w:val="24"/>
                <w:szCs w:val="24"/>
                <w:u w:val="none"/>
                <w:lang w:val="en-US" w:eastAsia="zh-CN"/>
                <w14:textFill>
                  <w14:solidFill>
                    <w14:schemeClr w14:val="tx1"/>
                  </w14:solidFill>
                </w14:textFill>
              </w:rPr>
              <w:t>套</w:t>
            </w:r>
            <w:r>
              <w:rPr>
                <w:rFonts w:hint="eastAsia" w:ascii="仿宋_GB2312" w:hAnsi="仿宋_GB2312" w:eastAsia="仿宋_GB2312" w:cs="仿宋_GB2312"/>
                <w:b w:val="0"/>
                <w:color w:val="000000" w:themeColor="text1"/>
                <w:sz w:val="24"/>
                <w:szCs w:val="24"/>
                <w:u w:val="none"/>
                <w14:textFill>
                  <w14:solidFill>
                    <w14:schemeClr w14:val="tx1"/>
                  </w14:solidFill>
                </w14:textFill>
              </w:rPr>
              <w:t>，具备</w:t>
            </w:r>
            <w:r>
              <w:rPr>
                <w:rFonts w:hint="eastAsia" w:ascii="仿宋_GB2312" w:hAnsi="仿宋_GB2312" w:eastAsia="仿宋_GB2312" w:cs="仿宋_GB2312"/>
                <w:b w:val="0"/>
                <w:color w:val="000000" w:themeColor="text1"/>
                <w:sz w:val="24"/>
                <w:szCs w:val="24"/>
                <w:highlight w:val="none"/>
                <w:u w:val="none"/>
                <w14:textFill>
                  <w14:solidFill>
                    <w14:schemeClr w14:val="tx1"/>
                  </w14:solidFill>
                </w14:textFill>
              </w:rPr>
              <w:t>风险筛查、严重程度分级、干预疗效预测、随访转归预警</w:t>
            </w:r>
            <w:r>
              <w:rPr>
                <w:rFonts w:hint="eastAsia" w:ascii="仿宋_GB2312" w:hAnsi="仿宋_GB2312" w:eastAsia="仿宋_GB2312" w:cs="仿宋_GB2312"/>
                <w:b w:val="0"/>
                <w:color w:val="000000" w:themeColor="text1"/>
                <w:sz w:val="24"/>
                <w:szCs w:val="24"/>
                <w:u w:val="none"/>
                <w14:textFill>
                  <w14:solidFill>
                    <w14:schemeClr w14:val="tx1"/>
                  </w14:solidFill>
                </w14:textFill>
              </w:rPr>
              <w:t xml:space="preserve">四大功能，跨机构外部独立验证 </w:t>
            </w:r>
            <w:r>
              <w:rPr>
                <w:rFonts w:hint="eastAsia" w:ascii="仿宋_GB2312" w:hAnsi="仿宋_GB2312" w:eastAsia="仿宋_GB2312" w:cs="仿宋_GB2312"/>
                <w:b w:val="0"/>
                <w:color w:val="000000" w:themeColor="text1"/>
                <w:sz w:val="24"/>
                <w:szCs w:val="24"/>
                <w:highlight w:val="none"/>
                <w:u w:val="none"/>
                <w14:textFill>
                  <w14:solidFill>
                    <w14:schemeClr w14:val="tx1"/>
                  </w14:solidFill>
                </w14:textFill>
              </w:rPr>
              <w:t>AUC≥0.85、灵敏度≥0.85、特异度≥0.80，疗效预测 AUC≥0.78，亚组性能波动≤0.10</w:t>
            </w:r>
            <w:r>
              <w:rPr>
                <w:rFonts w:hint="eastAsia" w:ascii="仿宋_GB2312" w:hAnsi="仿宋_GB2312" w:eastAsia="仿宋_GB2312" w:cs="仿宋_GB2312"/>
                <w:b w:val="0"/>
                <w:color w:val="000000" w:themeColor="text1"/>
                <w:sz w:val="24"/>
                <w:szCs w:val="24"/>
                <w:highlight w:val="none"/>
                <w:u w:val="none"/>
                <w:lang w:eastAsia="zh-CN"/>
                <w14:textFill>
                  <w14:solidFill>
                    <w14:schemeClr w14:val="tx1"/>
                  </w14:solidFill>
                </w14:textFill>
              </w:rPr>
              <w:t>。</w:t>
            </w:r>
          </w:p>
          <w:p w14:paraId="22A451AB">
            <w:pPr>
              <w:pStyle w:val="17"/>
              <w:keepNext w:val="0"/>
              <w:keepLines w:val="0"/>
              <w:pageBreakBefore w:val="0"/>
              <w:kinsoku/>
              <w:wordWrap/>
              <w:overflowPunct/>
              <w:topLinePunct w:val="0"/>
              <w:autoSpaceDE/>
              <w:autoSpaceDN/>
              <w:bidi w:val="0"/>
              <w:adjustRightInd/>
              <w:snapToGrid w:val="0"/>
              <w:spacing w:line="400" w:lineRule="exact"/>
              <w:ind w:firstLine="514" w:firstLineChars="200"/>
              <w:textAlignment w:val="auto"/>
              <w:rPr>
                <w:rFonts w:ascii="仿宋_GB2312" w:hAnsi="仿宋_GB2312" w:eastAsia="仿宋_GB2312" w:cs="仿宋_GB2312"/>
                <w:b w:val="0"/>
                <w:color w:val="000000" w:themeColor="text1"/>
                <w:sz w:val="24"/>
                <w:szCs w:val="24"/>
                <w:u w:val="none"/>
                <w14:textFill>
                  <w14:solidFill>
                    <w14:schemeClr w14:val="tx1"/>
                  </w14:solidFill>
                </w14:textFill>
              </w:rPr>
            </w:pPr>
            <w:r>
              <w:rPr>
                <w:rFonts w:ascii="仿宋_GB2312" w:hAnsi="仿宋_GB2312" w:eastAsia="仿宋_GB2312" w:cs="仿宋_GB2312"/>
                <w:b w:val="0"/>
                <w:color w:val="000000" w:themeColor="text1"/>
                <w:sz w:val="24"/>
                <w:szCs w:val="24"/>
                <w:u w:val="none"/>
                <w14:textFill>
                  <w14:solidFill>
                    <w14:schemeClr w14:val="tx1"/>
                  </w14:solidFill>
                </w14:textFill>
              </w:rPr>
              <w:t>（</w:t>
            </w:r>
            <w:r>
              <w:rPr>
                <w:rFonts w:hint="eastAsia" w:ascii="仿宋_GB2312" w:hAnsi="仿宋_GB2312" w:eastAsia="仿宋_GB2312" w:cs="仿宋_GB2312"/>
                <w:b w:val="0"/>
                <w:color w:val="000000" w:themeColor="text1"/>
                <w:sz w:val="24"/>
                <w:szCs w:val="24"/>
                <w:u w:val="none"/>
                <w:lang w:val="en-US" w:eastAsia="zh-CN"/>
                <w14:textFill>
                  <w14:solidFill>
                    <w14:schemeClr w14:val="tx1"/>
                  </w14:solidFill>
                </w14:textFill>
              </w:rPr>
              <w:t>5</w:t>
            </w:r>
            <w:r>
              <w:rPr>
                <w:rFonts w:ascii="仿宋_GB2312" w:hAnsi="仿宋_GB2312" w:eastAsia="仿宋_GB2312" w:cs="仿宋_GB2312"/>
                <w:b w:val="0"/>
                <w:color w:val="000000" w:themeColor="text1"/>
                <w:sz w:val="24"/>
                <w:szCs w:val="24"/>
                <w:u w:val="none"/>
                <w14:textFill>
                  <w14:solidFill>
                    <w14:schemeClr w14:val="tx1"/>
                  </w14:solidFill>
                </w14:textFill>
              </w:rPr>
              <w:t>）形成统一的数据采集、质量控制、人员培训、临床操作和应用评价规范，建立</w:t>
            </w:r>
            <w:r>
              <w:rPr>
                <w:rFonts w:hint="eastAsia" w:ascii="仿宋_GB2312" w:hAnsi="仿宋_GB2312" w:eastAsia="仿宋_GB2312" w:cs="仿宋_GB2312"/>
                <w:b w:val="0"/>
                <w:color w:val="000000" w:themeColor="text1"/>
                <w:sz w:val="24"/>
                <w:szCs w:val="24"/>
                <w:highlight w:val="none"/>
                <w:u w:val="none"/>
                <w14:textFill>
                  <w14:solidFill>
                    <w14:schemeClr w14:val="tx1"/>
                  </w14:solidFill>
                </w14:textFill>
              </w:rPr>
              <w:t>≥</w:t>
            </w:r>
            <w:r>
              <w:rPr>
                <w:rFonts w:ascii="仿宋_GB2312" w:hAnsi="仿宋_GB2312" w:eastAsia="仿宋_GB2312" w:cs="仿宋_GB2312"/>
                <w:b w:val="0"/>
                <w:color w:val="000000" w:themeColor="text1"/>
                <w:sz w:val="24"/>
                <w:szCs w:val="24"/>
                <w:u w:val="none"/>
                <w14:textFill>
                  <w14:solidFill>
                    <w14:schemeClr w14:val="tx1"/>
                  </w14:solidFill>
                </w14:textFill>
              </w:rPr>
              <w:t>1套标准化闭环临床应用流程。</w:t>
            </w:r>
          </w:p>
          <w:p w14:paraId="6256135D">
            <w:pPr>
              <w:pStyle w:val="17"/>
              <w:keepNext w:val="0"/>
              <w:keepLines w:val="0"/>
              <w:pageBreakBefore w:val="0"/>
              <w:kinsoku/>
              <w:wordWrap/>
              <w:overflowPunct/>
              <w:topLinePunct w:val="0"/>
              <w:autoSpaceDE/>
              <w:autoSpaceDN/>
              <w:bidi w:val="0"/>
              <w:adjustRightInd/>
              <w:snapToGrid w:val="0"/>
              <w:spacing w:line="400" w:lineRule="exact"/>
              <w:ind w:firstLine="514" w:firstLineChars="200"/>
              <w:textAlignment w:val="auto"/>
              <w:rPr>
                <w:b/>
                <w:bCs/>
                <w:color w:val="000000" w:themeColor="text1"/>
                <w:sz w:val="24"/>
                <w:szCs w:val="24"/>
                <w:u w:val="none"/>
                <w14:textFill>
                  <w14:solidFill>
                    <w14:schemeClr w14:val="tx1"/>
                  </w14:solidFill>
                </w14:textFill>
              </w:rPr>
            </w:pPr>
            <w:r>
              <w:rPr>
                <w:rFonts w:ascii="仿宋_GB2312" w:hAnsi="仿宋_GB2312" w:eastAsia="仿宋_GB2312" w:cs="仿宋_GB2312"/>
                <w:b/>
                <w:bCs/>
                <w:color w:val="000000" w:themeColor="text1"/>
                <w:sz w:val="24"/>
                <w:szCs w:val="24"/>
                <w:u w:val="none"/>
                <w14:textFill>
                  <w14:solidFill>
                    <w14:schemeClr w14:val="tx1"/>
                  </w14:solidFill>
                </w14:textFill>
              </w:rPr>
              <w:t>2.脑电采集与智能评估</w:t>
            </w:r>
          </w:p>
          <w:p w14:paraId="6DC4699B">
            <w:pPr>
              <w:pStyle w:val="17"/>
              <w:keepNext w:val="0"/>
              <w:keepLines w:val="0"/>
              <w:pageBreakBefore w:val="0"/>
              <w:kinsoku/>
              <w:wordWrap/>
              <w:overflowPunct/>
              <w:topLinePunct w:val="0"/>
              <w:autoSpaceDE/>
              <w:autoSpaceDN/>
              <w:bidi w:val="0"/>
              <w:adjustRightInd/>
              <w:snapToGrid w:val="0"/>
              <w:spacing w:line="400" w:lineRule="exact"/>
              <w:ind w:firstLine="514" w:firstLineChars="200"/>
              <w:textAlignment w:val="auto"/>
              <w:rPr>
                <w:color w:val="000000" w:themeColor="text1"/>
                <w:sz w:val="24"/>
                <w:szCs w:val="24"/>
                <w:u w:val="none"/>
                <w14:textFill>
                  <w14:solidFill>
                    <w14:schemeClr w14:val="tx1"/>
                  </w14:solidFill>
                </w14:textFill>
              </w:rPr>
            </w:pPr>
            <w:r>
              <w:rPr>
                <w:rFonts w:ascii="仿宋_GB2312" w:hAnsi="仿宋_GB2312" w:eastAsia="仿宋_GB2312" w:cs="仿宋_GB2312"/>
                <w:b w:val="0"/>
                <w:color w:val="000000" w:themeColor="text1"/>
                <w:sz w:val="24"/>
                <w:szCs w:val="24"/>
                <w:u w:val="none"/>
                <w14:textFill>
                  <w14:solidFill>
                    <w14:schemeClr w14:val="tx1"/>
                  </w14:solidFill>
                </w14:textFill>
              </w:rPr>
              <w:t>（1）脑电采集设备支持</w:t>
            </w:r>
            <w:r>
              <w:rPr>
                <w:rFonts w:hint="eastAsia" w:ascii="仿宋_GB2312" w:hAnsi="仿宋_GB2312" w:eastAsia="仿宋_GB2312" w:cs="仿宋_GB2312"/>
                <w:b w:val="0"/>
                <w:color w:val="000000" w:themeColor="text1"/>
                <w:sz w:val="24"/>
                <w:szCs w:val="24"/>
                <w:highlight w:val="none"/>
                <w:u w:val="none"/>
                <w14:textFill>
                  <w14:solidFill>
                    <w14:schemeClr w14:val="tx1"/>
                  </w14:solidFill>
                </w14:textFill>
              </w:rPr>
              <w:t>≥</w:t>
            </w:r>
            <w:r>
              <w:rPr>
                <w:rFonts w:hint="eastAsia" w:ascii="仿宋_GB2312" w:hAnsi="仿宋_GB2312" w:eastAsia="仿宋_GB2312" w:cs="仿宋_GB2312"/>
                <w:b w:val="0"/>
                <w:color w:val="000000" w:themeColor="text1"/>
                <w:sz w:val="24"/>
                <w:szCs w:val="24"/>
                <w:u w:val="none"/>
                <w:lang w:val="en-US" w:eastAsia="zh-CN"/>
                <w14:textFill>
                  <w14:solidFill>
                    <w14:schemeClr w14:val="tx1"/>
                  </w14:solidFill>
                </w14:textFill>
              </w:rPr>
              <w:t>19导</w:t>
            </w:r>
            <w:r>
              <w:rPr>
                <w:rFonts w:ascii="仿宋_GB2312" w:hAnsi="仿宋_GB2312" w:eastAsia="仿宋_GB2312" w:cs="仿宋_GB2312"/>
                <w:b w:val="0"/>
                <w:color w:val="000000" w:themeColor="text1"/>
                <w:sz w:val="24"/>
                <w:szCs w:val="24"/>
                <w:u w:val="none"/>
                <w14:textFill>
                  <w14:solidFill>
                    <w14:schemeClr w14:val="tx1"/>
                  </w14:solidFill>
                </w14:textFill>
              </w:rPr>
              <w:t>通道配置；脑电采样率标称值</w:t>
            </w:r>
            <w:r>
              <w:rPr>
                <w:rFonts w:hint="eastAsia" w:ascii="仿宋_GB2312" w:hAnsi="仿宋_GB2312" w:eastAsia="仿宋_GB2312" w:cs="仿宋_GB2312"/>
                <w:b w:val="0"/>
                <w:color w:val="000000" w:themeColor="text1"/>
                <w:sz w:val="24"/>
                <w:szCs w:val="24"/>
                <w:u w:val="none"/>
                <w:lang w:val="en-US" w:eastAsia="zh-CN"/>
                <w14:textFill>
                  <w14:solidFill>
                    <w14:schemeClr w14:val="tx1"/>
                  </w14:solidFill>
                </w14:textFill>
              </w:rPr>
              <w:t>≥</w:t>
            </w:r>
            <w:r>
              <w:rPr>
                <w:rFonts w:ascii="仿宋_GB2312" w:hAnsi="仿宋_GB2312" w:eastAsia="仿宋_GB2312" w:cs="仿宋_GB2312"/>
                <w:b w:val="0"/>
                <w:color w:val="000000" w:themeColor="text1"/>
                <w:sz w:val="24"/>
                <w:szCs w:val="24"/>
                <w:u w:val="none"/>
                <w14:textFill>
                  <w14:solidFill>
                    <w14:schemeClr w14:val="tx1"/>
                  </w14:solidFill>
                </w14:textFill>
              </w:rPr>
              <w:t>1kHz，采样率误差≤±2%；输入噪声≤1.5μV（峰-峰值），各通道输入阻抗≥200MΩ，共模抑制比≥110dB，频率响应范围0.5Hz～70Hz。</w:t>
            </w:r>
          </w:p>
          <w:p w14:paraId="28E53A0F">
            <w:pPr>
              <w:pStyle w:val="17"/>
              <w:keepNext w:val="0"/>
              <w:keepLines w:val="0"/>
              <w:pageBreakBefore w:val="0"/>
              <w:kinsoku/>
              <w:wordWrap/>
              <w:overflowPunct/>
              <w:topLinePunct w:val="0"/>
              <w:autoSpaceDE/>
              <w:autoSpaceDN/>
              <w:bidi w:val="0"/>
              <w:adjustRightInd/>
              <w:snapToGrid w:val="0"/>
              <w:spacing w:line="400" w:lineRule="exact"/>
              <w:ind w:firstLine="514" w:firstLineChars="200"/>
              <w:textAlignment w:val="auto"/>
              <w:rPr>
                <w:rFonts w:ascii="仿宋_GB2312" w:hAnsi="仿宋_GB2312" w:eastAsia="仿宋_GB2312" w:cs="仿宋_GB2312"/>
                <w:b w:val="0"/>
                <w:color w:val="000000" w:themeColor="text1"/>
                <w:sz w:val="24"/>
                <w:szCs w:val="24"/>
                <w:highlight w:val="none"/>
                <w:u w:val="none"/>
                <w14:textFill>
                  <w14:solidFill>
                    <w14:schemeClr w14:val="tx1"/>
                  </w14:solidFill>
                </w14:textFill>
              </w:rPr>
            </w:pPr>
            <w:r>
              <w:rPr>
                <w:rFonts w:ascii="仿宋_GB2312" w:hAnsi="仿宋_GB2312" w:eastAsia="仿宋_GB2312" w:cs="仿宋_GB2312"/>
                <w:b w:val="0"/>
                <w:color w:val="000000" w:themeColor="text1"/>
                <w:sz w:val="24"/>
                <w:szCs w:val="24"/>
                <w:u w:val="none"/>
                <w14:textFill>
                  <w14:solidFill>
                    <w14:schemeClr w14:val="tx1"/>
                  </w14:solidFill>
                </w14:textFill>
              </w:rPr>
              <w:t>（</w:t>
            </w:r>
            <w:r>
              <w:rPr>
                <w:rFonts w:hint="eastAsia" w:ascii="仿宋_GB2312" w:hAnsi="仿宋_GB2312" w:eastAsia="仿宋_GB2312" w:cs="仿宋_GB2312"/>
                <w:b w:val="0"/>
                <w:color w:val="000000" w:themeColor="text1"/>
                <w:sz w:val="24"/>
                <w:szCs w:val="24"/>
                <w:u w:val="none"/>
                <w:lang w:val="en-US" w:eastAsia="zh-CN"/>
                <w14:textFill>
                  <w14:solidFill>
                    <w14:schemeClr w14:val="tx1"/>
                  </w14:solidFill>
                </w14:textFill>
              </w:rPr>
              <w:t>2</w:t>
            </w:r>
            <w:r>
              <w:rPr>
                <w:rFonts w:ascii="仿宋_GB2312" w:hAnsi="仿宋_GB2312" w:eastAsia="仿宋_GB2312" w:cs="仿宋_GB2312"/>
                <w:b w:val="0"/>
                <w:color w:val="000000" w:themeColor="text1"/>
                <w:sz w:val="24"/>
                <w:szCs w:val="24"/>
                <w:u w:val="none"/>
                <w14:textFill>
                  <w14:solidFill>
                    <w14:schemeClr w14:val="tx1"/>
                  </w14:solidFill>
                </w14:textFill>
              </w:rPr>
              <w:t>）</w:t>
            </w:r>
            <w:r>
              <w:rPr>
                <w:rFonts w:hint="eastAsia" w:ascii="仿宋_GB2312" w:hAnsi="仿宋_GB2312" w:eastAsia="仿宋_GB2312" w:cs="仿宋_GB2312"/>
                <w:b w:val="0"/>
                <w:color w:val="000000" w:themeColor="text1"/>
                <w:sz w:val="24"/>
                <w:szCs w:val="24"/>
                <w:u w:val="none"/>
                <w:lang w:val="en-US" w:eastAsia="zh-CN"/>
                <w14:textFill>
                  <w14:solidFill>
                    <w14:schemeClr w14:val="tx1"/>
                  </w14:solidFill>
                </w14:textFill>
              </w:rPr>
              <w:t>主动式</w:t>
            </w:r>
            <w:r>
              <w:rPr>
                <w:rFonts w:ascii="仿宋_GB2312" w:hAnsi="仿宋_GB2312" w:eastAsia="仿宋_GB2312" w:cs="仿宋_GB2312"/>
                <w:b w:val="0"/>
                <w:color w:val="000000" w:themeColor="text1"/>
                <w:sz w:val="24"/>
                <w:szCs w:val="24"/>
                <w:u w:val="none"/>
                <w14:textFill>
                  <w14:solidFill>
                    <w14:schemeClr w14:val="tx1"/>
                  </w14:solidFill>
                </w14:textFill>
              </w:rPr>
              <w:t>干电极脑电快速采集流程目标为单次检测5～8分钟</w:t>
            </w:r>
            <w:r>
              <w:rPr>
                <w:rFonts w:hint="eastAsia" w:ascii="仿宋_GB2312" w:hAnsi="仿宋_GB2312" w:eastAsia="仿宋_GB2312" w:cs="仿宋_GB2312"/>
                <w:b w:val="0"/>
                <w:color w:val="000000" w:themeColor="text1"/>
                <w:sz w:val="24"/>
                <w:szCs w:val="24"/>
                <w:u w:val="none"/>
                <w:lang w:eastAsia="zh-CN"/>
                <w14:textFill>
                  <w14:solidFill>
                    <w14:schemeClr w14:val="tx1"/>
                  </w14:solidFill>
                </w14:textFill>
              </w:rPr>
              <w:t>，</w:t>
            </w:r>
            <w:r>
              <w:rPr>
                <w:rFonts w:hint="eastAsia" w:ascii="仿宋_GB2312" w:hAnsi="仿宋_GB2312" w:eastAsia="仿宋_GB2312" w:cs="仿宋_GB2312"/>
                <w:b w:val="0"/>
                <w:color w:val="000000" w:themeColor="text1"/>
                <w:sz w:val="24"/>
                <w:szCs w:val="24"/>
                <w:u w:val="none"/>
                <w:lang w:val="en-US" w:eastAsia="zh-CN"/>
                <w14:textFill>
                  <w14:solidFill>
                    <w14:schemeClr w14:val="tx1"/>
                  </w14:solidFill>
                </w14:textFill>
              </w:rPr>
              <w:t>脑电采集设备</w:t>
            </w:r>
            <w:r>
              <w:rPr>
                <w:rFonts w:ascii="仿宋_GB2312" w:hAnsi="仿宋_GB2312" w:eastAsia="仿宋_GB2312" w:cs="仿宋_GB2312"/>
                <w:b w:val="0"/>
                <w:color w:val="000000" w:themeColor="text1"/>
                <w:sz w:val="24"/>
                <w:szCs w:val="24"/>
                <w:highlight w:val="none"/>
                <w:u w:val="none"/>
                <w14:textFill>
                  <w14:solidFill>
                    <w14:schemeClr w14:val="tx1"/>
                  </w14:solidFill>
                </w14:textFill>
              </w:rPr>
              <w:t>需通过</w:t>
            </w:r>
            <w:r>
              <w:rPr>
                <w:rFonts w:hint="eastAsia" w:ascii="仿宋_GB2312" w:hAnsi="仿宋_GB2312" w:eastAsia="仿宋_GB2312" w:cs="仿宋_GB2312"/>
                <w:b w:val="0"/>
                <w:color w:val="000000" w:themeColor="text1"/>
                <w:sz w:val="24"/>
                <w:szCs w:val="24"/>
                <w:highlight w:val="none"/>
                <w:u w:val="none"/>
                <w:lang w:val="en-US" w:eastAsia="zh-CN"/>
                <w14:textFill>
                  <w14:solidFill>
                    <w14:schemeClr w14:val="tx1"/>
                  </w14:solidFill>
                </w14:textFill>
              </w:rPr>
              <w:t>福建省二类医疗器械注册认证</w:t>
            </w:r>
            <w:r>
              <w:rPr>
                <w:rFonts w:ascii="仿宋_GB2312" w:hAnsi="仿宋_GB2312" w:eastAsia="仿宋_GB2312" w:cs="仿宋_GB2312"/>
                <w:b w:val="0"/>
                <w:color w:val="000000" w:themeColor="text1"/>
                <w:sz w:val="24"/>
                <w:szCs w:val="24"/>
                <w:highlight w:val="none"/>
                <w:u w:val="none"/>
                <w14:textFill>
                  <w14:solidFill>
                    <w14:schemeClr w14:val="tx1"/>
                  </w14:solidFill>
                </w14:textFill>
              </w:rPr>
              <w:t>。</w:t>
            </w:r>
          </w:p>
          <w:p w14:paraId="23AF0390">
            <w:pPr>
              <w:pStyle w:val="17"/>
              <w:keepNext w:val="0"/>
              <w:keepLines w:val="0"/>
              <w:pageBreakBefore w:val="0"/>
              <w:kinsoku/>
              <w:wordWrap/>
              <w:overflowPunct/>
              <w:topLinePunct w:val="0"/>
              <w:autoSpaceDE/>
              <w:autoSpaceDN/>
              <w:bidi w:val="0"/>
              <w:adjustRightInd/>
              <w:snapToGrid w:val="0"/>
              <w:spacing w:line="400" w:lineRule="exact"/>
              <w:ind w:firstLine="514" w:firstLineChars="200"/>
              <w:textAlignment w:val="auto"/>
              <w:rPr>
                <w:rFonts w:hint="eastAsia" w:ascii="仿宋_GB2312" w:hAnsi="仿宋_GB2312" w:eastAsia="仿宋_GB2312" w:cs="仿宋_GB2312"/>
                <w:b w:val="0"/>
                <w:color w:val="000000" w:themeColor="text1"/>
                <w:sz w:val="24"/>
                <w:szCs w:val="24"/>
                <w:highlight w:val="none"/>
                <w:u w:val="none"/>
                <w:lang w:val="en-US" w:eastAsia="zh-CN"/>
                <w14:textFill>
                  <w14:solidFill>
                    <w14:schemeClr w14:val="tx1"/>
                  </w14:solidFill>
                </w14:textFill>
              </w:rPr>
            </w:pPr>
            <w:r>
              <w:rPr>
                <w:rFonts w:hint="eastAsia" w:ascii="仿宋_GB2312" w:hAnsi="仿宋_GB2312" w:eastAsia="仿宋_GB2312" w:cs="仿宋_GB2312"/>
                <w:b w:val="0"/>
                <w:color w:val="000000" w:themeColor="text1"/>
                <w:sz w:val="24"/>
                <w:szCs w:val="24"/>
                <w:highlight w:val="none"/>
                <w:u w:val="none"/>
                <w:lang w:eastAsia="zh-CN"/>
                <w14:textFill>
                  <w14:solidFill>
                    <w14:schemeClr w14:val="tx1"/>
                  </w14:solidFill>
                </w14:textFill>
              </w:rPr>
              <w:t>（</w:t>
            </w:r>
            <w:r>
              <w:rPr>
                <w:rFonts w:hint="eastAsia" w:ascii="仿宋_GB2312" w:hAnsi="仿宋_GB2312" w:eastAsia="仿宋_GB2312" w:cs="仿宋_GB2312"/>
                <w:b w:val="0"/>
                <w:color w:val="000000" w:themeColor="text1"/>
                <w:sz w:val="24"/>
                <w:szCs w:val="24"/>
                <w:highlight w:val="none"/>
                <w:u w:val="none"/>
                <w:lang w:val="en-US" w:eastAsia="zh-CN"/>
                <w14:textFill>
                  <w14:solidFill>
                    <w14:schemeClr w14:val="tx1"/>
                  </w14:solidFill>
                </w14:textFill>
              </w:rPr>
              <w:t>3</w:t>
            </w:r>
            <w:r>
              <w:rPr>
                <w:rFonts w:hint="eastAsia" w:ascii="仿宋_GB2312" w:hAnsi="仿宋_GB2312" w:eastAsia="仿宋_GB2312" w:cs="仿宋_GB2312"/>
                <w:b w:val="0"/>
                <w:color w:val="000000" w:themeColor="text1"/>
                <w:sz w:val="24"/>
                <w:szCs w:val="24"/>
                <w:highlight w:val="none"/>
                <w:u w:val="none"/>
                <w:lang w:eastAsia="zh-CN"/>
                <w14:textFill>
                  <w14:solidFill>
                    <w14:schemeClr w14:val="tx1"/>
                  </w14:solidFill>
                </w14:textFill>
              </w:rPr>
              <w:t>）</w:t>
            </w:r>
            <w:r>
              <w:rPr>
                <w:rFonts w:hint="eastAsia" w:ascii="仿宋_GB2312" w:hAnsi="仿宋_GB2312" w:eastAsia="仿宋_GB2312" w:cs="仿宋_GB2312"/>
                <w:b w:val="0"/>
                <w:color w:val="000000" w:themeColor="text1"/>
                <w:sz w:val="24"/>
                <w:szCs w:val="24"/>
                <w:highlight w:val="none"/>
                <w:u w:val="none"/>
                <w:lang w:val="en-US" w:eastAsia="zh-CN"/>
                <w14:textFill>
                  <w14:solidFill>
                    <w14:schemeClr w14:val="tx1"/>
                  </w14:solidFill>
                </w14:textFill>
              </w:rPr>
              <w:t>电极采用硅橡胶基底碳纳米管CNT新型材料，电阻率≤ 10 Ω·m，电阻≤ 100 Ω，硬度邵氏 (75±5) A，单电极重量≤2 g ， 兼顾穿戴适宜性。</w:t>
            </w:r>
          </w:p>
          <w:p w14:paraId="5651DE46">
            <w:pPr>
              <w:pStyle w:val="17"/>
              <w:keepNext w:val="0"/>
              <w:keepLines w:val="0"/>
              <w:pageBreakBefore w:val="0"/>
              <w:kinsoku/>
              <w:wordWrap/>
              <w:overflowPunct/>
              <w:topLinePunct w:val="0"/>
              <w:autoSpaceDE/>
              <w:autoSpaceDN/>
              <w:bidi w:val="0"/>
              <w:adjustRightInd/>
              <w:snapToGrid w:val="0"/>
              <w:spacing w:line="400" w:lineRule="exact"/>
              <w:ind w:firstLine="514" w:firstLineChars="200"/>
              <w:textAlignment w:val="auto"/>
              <w:rPr>
                <w:b/>
                <w:bCs/>
                <w:color w:val="000000" w:themeColor="text1"/>
                <w:sz w:val="24"/>
                <w:szCs w:val="24"/>
                <w:u w:val="none"/>
                <w14:textFill>
                  <w14:solidFill>
                    <w14:schemeClr w14:val="tx1"/>
                  </w14:solidFill>
                </w14:textFill>
              </w:rPr>
            </w:pPr>
            <w:r>
              <w:rPr>
                <w:rFonts w:ascii="仿宋_GB2312" w:hAnsi="仿宋_GB2312" w:eastAsia="仿宋_GB2312" w:cs="仿宋_GB2312"/>
                <w:b/>
                <w:bCs/>
                <w:color w:val="000000" w:themeColor="text1"/>
                <w:sz w:val="24"/>
                <w:szCs w:val="24"/>
                <w:u w:val="none"/>
                <w14:textFill>
                  <w14:solidFill>
                    <w14:schemeClr w14:val="tx1"/>
                  </w14:solidFill>
                </w14:textFill>
              </w:rPr>
              <w:t>3.脑影像导航与个体化靶点定位</w:t>
            </w:r>
          </w:p>
          <w:p w14:paraId="48964B04">
            <w:pPr>
              <w:pStyle w:val="17"/>
              <w:keepNext w:val="0"/>
              <w:keepLines w:val="0"/>
              <w:pageBreakBefore w:val="0"/>
              <w:kinsoku/>
              <w:wordWrap/>
              <w:overflowPunct/>
              <w:topLinePunct w:val="0"/>
              <w:autoSpaceDE/>
              <w:autoSpaceDN/>
              <w:bidi w:val="0"/>
              <w:adjustRightInd/>
              <w:snapToGrid w:val="0"/>
              <w:spacing w:line="400" w:lineRule="exact"/>
              <w:ind w:firstLine="514" w:firstLineChars="200"/>
              <w:textAlignment w:val="auto"/>
              <w:rPr>
                <w:rFonts w:hint="eastAsia" w:ascii="仿宋_GB2312" w:hAnsi="仿宋_GB2312" w:eastAsia="仿宋_GB2312" w:cs="仿宋_GB2312"/>
                <w:b w:val="0"/>
                <w:bCs w:val="0"/>
                <w:color w:val="000000" w:themeColor="text1"/>
                <w:sz w:val="24"/>
                <w:szCs w:val="24"/>
                <w:u w:val="no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u w:val="none"/>
                <w:lang w:val="en-US" w:eastAsia="zh-CN"/>
                <w14:textFill>
                  <w14:solidFill>
                    <w14:schemeClr w14:val="tx1"/>
                  </w14:solidFill>
                </w14:textFill>
              </w:rPr>
              <w:t>（1）建立基于个体磁共振脑影像的精准神经调控技术体系，实现异常脑区及脑网络识别、个体化干预靶点生成，以及个体化刺激阈值、刺激强度和参数确定，形成1套精准靶点识别和干预方案。</w:t>
            </w:r>
          </w:p>
          <w:p w14:paraId="0943098B">
            <w:pPr>
              <w:pStyle w:val="17"/>
              <w:keepNext w:val="0"/>
              <w:keepLines w:val="0"/>
              <w:pageBreakBefore w:val="0"/>
              <w:kinsoku/>
              <w:wordWrap/>
              <w:overflowPunct/>
              <w:topLinePunct w:val="0"/>
              <w:autoSpaceDE/>
              <w:autoSpaceDN/>
              <w:bidi w:val="0"/>
              <w:adjustRightInd/>
              <w:snapToGrid w:val="0"/>
              <w:spacing w:line="400" w:lineRule="exact"/>
              <w:ind w:firstLine="514" w:firstLineChars="200"/>
              <w:textAlignment w:val="auto"/>
              <w:rPr>
                <w:rFonts w:hint="eastAsia" w:ascii="仿宋_GB2312" w:hAnsi="仿宋_GB2312" w:eastAsia="仿宋_GB2312" w:cs="仿宋_GB2312"/>
                <w:b w:val="0"/>
                <w:bCs w:val="0"/>
                <w:color w:val="000000" w:themeColor="text1"/>
                <w:sz w:val="24"/>
                <w:szCs w:val="24"/>
                <w:u w:val="no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u w:val="none"/>
                <w:lang w:val="en-US" w:eastAsia="zh-CN"/>
                <w14:textFill>
                  <w14:solidFill>
                    <w14:schemeClr w14:val="tx1"/>
                  </w14:solidFill>
                </w14:textFill>
              </w:rPr>
              <w:t>（2）导航定位精度≤2mm，重复定位误差≤1mm；并具备定位状态显示、跟踪丢失提示及信号恢复后自动恢复定位功能，设备需通过福建省二类医疗器械注册认证。</w:t>
            </w:r>
          </w:p>
          <w:p w14:paraId="7DAADBF3">
            <w:pPr>
              <w:pStyle w:val="17"/>
              <w:keepNext w:val="0"/>
              <w:keepLines w:val="0"/>
              <w:pageBreakBefore w:val="0"/>
              <w:kinsoku/>
              <w:wordWrap/>
              <w:overflowPunct/>
              <w:topLinePunct w:val="0"/>
              <w:autoSpaceDE/>
              <w:autoSpaceDN/>
              <w:bidi w:val="0"/>
              <w:adjustRightInd/>
              <w:snapToGrid w:val="0"/>
              <w:spacing w:line="400" w:lineRule="exact"/>
              <w:ind w:firstLine="514" w:firstLineChars="200"/>
              <w:textAlignment w:val="auto"/>
              <w:rPr>
                <w:rFonts w:hint="default" w:ascii="仿宋_GB2312" w:hAnsi="仿宋_GB2312" w:eastAsia="仿宋_GB2312" w:cs="仿宋_GB2312"/>
                <w:b/>
                <w:bCs/>
                <w:color w:val="000000" w:themeColor="text1"/>
                <w:sz w:val="24"/>
                <w:szCs w:val="24"/>
                <w:u w:val="none"/>
                <w:lang w:val="en-US" w:eastAsia="zh-CN"/>
                <w14:textFill>
                  <w14:solidFill>
                    <w14:schemeClr w14:val="tx1"/>
                  </w14:solidFill>
                </w14:textFill>
              </w:rPr>
            </w:pPr>
            <w:r>
              <w:rPr>
                <w:rFonts w:hint="eastAsia" w:ascii="仿宋_GB2312" w:hAnsi="仿宋_GB2312" w:eastAsia="仿宋_GB2312" w:cs="仿宋_GB2312"/>
                <w:b/>
                <w:bCs/>
                <w:color w:val="000000" w:themeColor="text1"/>
                <w:sz w:val="24"/>
                <w:szCs w:val="24"/>
                <w:u w:val="none"/>
                <w:lang w:val="en-US" w:eastAsia="zh-CN"/>
                <w14:textFill>
                  <w14:solidFill>
                    <w14:schemeClr w14:val="tx1"/>
                  </w14:solidFill>
                </w14:textFill>
              </w:rPr>
              <w:t>4.闭环验证与科研产业化产出</w:t>
            </w:r>
          </w:p>
          <w:p w14:paraId="13162AC0">
            <w:pPr>
              <w:pStyle w:val="17"/>
              <w:keepNext w:val="0"/>
              <w:keepLines w:val="0"/>
              <w:pageBreakBefore w:val="0"/>
              <w:kinsoku/>
              <w:wordWrap/>
              <w:overflowPunct/>
              <w:topLinePunct w:val="0"/>
              <w:autoSpaceDE/>
              <w:autoSpaceDN/>
              <w:bidi w:val="0"/>
              <w:adjustRightInd/>
              <w:snapToGrid w:val="0"/>
              <w:spacing w:line="400" w:lineRule="exact"/>
              <w:ind w:firstLine="514" w:firstLineChars="200"/>
              <w:textAlignment w:val="auto"/>
              <w:rPr>
                <w:rFonts w:hint="eastAsia" w:ascii="仿宋_GB2312" w:hAnsi="仿宋_GB2312" w:eastAsia="仿宋_GB2312" w:cs="仿宋_GB2312"/>
                <w:b w:val="0"/>
                <w:color w:val="000000" w:themeColor="text1"/>
                <w:sz w:val="24"/>
                <w:szCs w:val="24"/>
                <w:u w:val="none"/>
                <w:lang w:eastAsia="zh-CN"/>
                <w14:textFill>
                  <w14:solidFill>
                    <w14:schemeClr w14:val="tx1"/>
                  </w14:solidFill>
                </w14:textFill>
              </w:rPr>
            </w:pPr>
            <w:r>
              <w:rPr>
                <w:rFonts w:hint="eastAsia" w:ascii="仿宋_GB2312" w:hAnsi="仿宋_GB2312" w:eastAsia="仿宋_GB2312" w:cs="仿宋_GB2312"/>
                <w:b w:val="0"/>
                <w:color w:val="000000" w:themeColor="text1"/>
                <w:sz w:val="24"/>
                <w:szCs w:val="24"/>
                <w:u w:val="none"/>
                <w14:textFill>
                  <w14:solidFill>
                    <w14:schemeClr w14:val="tx1"/>
                  </w14:solidFill>
                </w14:textFill>
              </w:rPr>
              <w:t>（1）完成</w:t>
            </w:r>
            <w:r>
              <w:rPr>
                <w:rFonts w:hint="eastAsia" w:ascii="仿宋_GB2312" w:hAnsi="仿宋_GB2312" w:eastAsia="仿宋_GB2312" w:cs="仿宋_GB2312"/>
                <w:b w:val="0"/>
                <w:color w:val="000000" w:themeColor="text1"/>
                <w:sz w:val="24"/>
                <w:szCs w:val="24"/>
                <w:highlight w:val="none"/>
                <w:u w:val="none"/>
                <w:lang w:val="en-US" w:eastAsia="zh-CN"/>
                <w14:textFill>
                  <w14:solidFill>
                    <w14:schemeClr w14:val="tx1"/>
                  </w14:solidFill>
                </w14:textFill>
              </w:rPr>
              <w:t>≥</w:t>
            </w:r>
            <w:r>
              <w:rPr>
                <w:rFonts w:hint="eastAsia" w:ascii="仿宋_GB2312" w:hAnsi="仿宋_GB2312" w:eastAsia="仿宋_GB2312" w:cs="仿宋_GB2312"/>
                <w:b w:val="0"/>
                <w:color w:val="000000" w:themeColor="text1"/>
                <w:sz w:val="24"/>
                <w:szCs w:val="24"/>
                <w:u w:val="none"/>
                <w14:textFill>
                  <w14:solidFill>
                    <w14:schemeClr w14:val="tx1"/>
                  </w14:solidFill>
                </w14:textFill>
              </w:rPr>
              <w:t>100例孤独症儿童干预前后脑功能和临床疗效复测，研究脑功能辅助评估、辅助诊断和功能分层方法</w:t>
            </w:r>
            <w:r>
              <w:rPr>
                <w:rFonts w:hint="eastAsia" w:ascii="仿宋_GB2312" w:hAnsi="仿宋_GB2312" w:eastAsia="仿宋_GB2312" w:cs="仿宋_GB2312"/>
                <w:b w:val="0"/>
                <w:color w:val="000000" w:themeColor="text1"/>
                <w:sz w:val="24"/>
                <w:szCs w:val="24"/>
                <w:u w:val="none"/>
                <w:lang w:eastAsia="zh-CN"/>
                <w14:textFill>
                  <w14:solidFill>
                    <w14:schemeClr w14:val="tx1"/>
                  </w14:solidFill>
                </w14:textFill>
              </w:rPr>
              <w:t>，</w:t>
            </w:r>
            <w:r>
              <w:rPr>
                <w:rFonts w:hint="eastAsia" w:ascii="仿宋_GB2312" w:hAnsi="仿宋_GB2312" w:eastAsia="仿宋_GB2312" w:cs="仿宋_GB2312"/>
                <w:b w:val="0"/>
                <w:color w:val="000000" w:themeColor="text1"/>
                <w:sz w:val="24"/>
                <w:szCs w:val="24"/>
                <w:u w:val="none"/>
                <w14:textFill>
                  <w14:solidFill>
                    <w14:schemeClr w14:val="tx1"/>
                  </w14:solidFill>
                </w14:textFill>
              </w:rPr>
              <w:t>分析脑电、脑影像变化与社交沟通、语言、注意及情绪行为等核心功能变化的关系，形成可量化的脑功能和临床评价证据</w:t>
            </w:r>
            <w:r>
              <w:rPr>
                <w:rFonts w:hint="eastAsia" w:ascii="仿宋_GB2312" w:hAnsi="仿宋_GB2312" w:eastAsia="仿宋_GB2312" w:cs="仿宋_GB2312"/>
                <w:b w:val="0"/>
                <w:color w:val="000000" w:themeColor="text1"/>
                <w:sz w:val="24"/>
                <w:szCs w:val="24"/>
                <w:u w:val="none"/>
                <w:lang w:eastAsia="zh-CN"/>
                <w14:textFill>
                  <w14:solidFill>
                    <w14:schemeClr w14:val="tx1"/>
                  </w14:solidFill>
                </w14:textFill>
              </w:rPr>
              <w:t>。</w:t>
            </w:r>
          </w:p>
          <w:p w14:paraId="3121735C">
            <w:pPr>
              <w:pStyle w:val="17"/>
              <w:keepNext w:val="0"/>
              <w:keepLines w:val="0"/>
              <w:pageBreakBefore w:val="0"/>
              <w:kinsoku/>
              <w:wordWrap/>
              <w:overflowPunct/>
              <w:topLinePunct w:val="0"/>
              <w:autoSpaceDE/>
              <w:autoSpaceDN/>
              <w:bidi w:val="0"/>
              <w:adjustRightInd/>
              <w:snapToGrid w:val="0"/>
              <w:spacing w:line="400" w:lineRule="exact"/>
              <w:ind w:firstLine="514" w:firstLineChars="200"/>
              <w:textAlignment w:val="auto"/>
              <w:rPr>
                <w:rFonts w:hint="eastAsia" w:ascii="仿宋_GB2312" w:hAnsi="仿宋_GB2312" w:eastAsia="仿宋_GB2312" w:cs="仿宋_GB2312"/>
                <w:b w:val="0"/>
                <w:color w:val="000000" w:themeColor="text1"/>
                <w:sz w:val="24"/>
                <w:szCs w:val="24"/>
                <w:u w:val="none"/>
                <w14:textFill>
                  <w14:solidFill>
                    <w14:schemeClr w14:val="tx1"/>
                  </w14:solidFill>
                </w14:textFill>
              </w:rPr>
            </w:pPr>
            <w:r>
              <w:rPr>
                <w:rFonts w:hint="eastAsia" w:ascii="仿宋_GB2312" w:hAnsi="仿宋_GB2312" w:eastAsia="仿宋_GB2312" w:cs="仿宋_GB2312"/>
                <w:b w:val="0"/>
                <w:color w:val="000000" w:themeColor="text1"/>
                <w:sz w:val="24"/>
                <w:szCs w:val="24"/>
                <w:u w:val="none"/>
                <w14:textFill>
                  <w14:solidFill>
                    <w14:schemeClr w14:val="tx1"/>
                  </w14:solidFill>
                </w14:textFill>
              </w:rPr>
              <w:t>（2）完成系统集成及多中心临床示范，形成可复制、可推广的孤独症非侵入式脑机接口智能评估与精准干预方案。</w:t>
            </w:r>
          </w:p>
          <w:p w14:paraId="2223A24E">
            <w:pPr>
              <w:pStyle w:val="17"/>
              <w:keepNext w:val="0"/>
              <w:keepLines w:val="0"/>
              <w:pageBreakBefore w:val="0"/>
              <w:kinsoku/>
              <w:wordWrap/>
              <w:overflowPunct/>
              <w:topLinePunct w:val="0"/>
              <w:autoSpaceDE/>
              <w:autoSpaceDN/>
              <w:bidi w:val="0"/>
              <w:adjustRightInd/>
              <w:snapToGrid w:val="0"/>
              <w:spacing w:line="400" w:lineRule="exact"/>
              <w:ind w:firstLine="514" w:firstLineChars="200"/>
              <w:textAlignment w:val="auto"/>
              <w:rPr>
                <w:rFonts w:hint="eastAsia" w:ascii="仿宋_GB2312" w:hAnsi="仿宋_GB2312" w:eastAsia="仿宋_GB2312" w:cs="仿宋_GB2312"/>
                <w:b w:val="0"/>
                <w:color w:val="000000" w:themeColor="text1"/>
                <w:sz w:val="24"/>
                <w:szCs w:val="24"/>
                <w:highlight w:val="none"/>
                <w:u w:val="none"/>
                <w:lang w:val="en-US" w:eastAsia="zh-CN"/>
                <w14:textFill>
                  <w14:solidFill>
                    <w14:schemeClr w14:val="tx1"/>
                  </w14:solidFill>
                </w14:textFill>
              </w:rPr>
            </w:pPr>
            <w:r>
              <w:rPr>
                <w:rFonts w:hint="eastAsia" w:ascii="仿宋_GB2312" w:hAnsi="仿宋_GB2312" w:eastAsia="仿宋_GB2312" w:cs="仿宋_GB2312"/>
                <w:b w:val="0"/>
                <w:color w:val="000000" w:themeColor="text1"/>
                <w:sz w:val="24"/>
                <w:szCs w:val="24"/>
                <w:u w:val="none"/>
                <w:lang w:eastAsia="zh-CN"/>
                <w14:textFill>
                  <w14:solidFill>
                    <w14:schemeClr w14:val="tx1"/>
                  </w14:solidFill>
                </w14:textFill>
              </w:rPr>
              <w:t>（</w:t>
            </w:r>
            <w:r>
              <w:rPr>
                <w:rFonts w:hint="eastAsia" w:ascii="仿宋_GB2312" w:hAnsi="仿宋_GB2312" w:eastAsia="仿宋_GB2312" w:cs="仿宋_GB2312"/>
                <w:b w:val="0"/>
                <w:color w:val="000000" w:themeColor="text1"/>
                <w:sz w:val="24"/>
                <w:szCs w:val="24"/>
                <w:u w:val="none"/>
                <w:lang w:val="en-US" w:eastAsia="zh-CN"/>
                <w14:textFill>
                  <w14:solidFill>
                    <w14:schemeClr w14:val="tx1"/>
                  </w14:solidFill>
                </w14:textFill>
              </w:rPr>
              <w:t>3</w:t>
            </w:r>
            <w:r>
              <w:rPr>
                <w:rFonts w:hint="eastAsia" w:ascii="仿宋_GB2312" w:hAnsi="仿宋_GB2312" w:eastAsia="仿宋_GB2312" w:cs="仿宋_GB2312"/>
                <w:b w:val="0"/>
                <w:color w:val="000000" w:themeColor="text1"/>
                <w:sz w:val="24"/>
                <w:szCs w:val="24"/>
                <w:u w:val="none"/>
                <w:lang w:eastAsia="zh-CN"/>
                <w14:textFill>
                  <w14:solidFill>
                    <w14:schemeClr w14:val="tx1"/>
                  </w14:solidFill>
                </w14:textFill>
              </w:rPr>
              <w:t>）</w:t>
            </w:r>
            <w:r>
              <w:rPr>
                <w:rFonts w:hint="eastAsia" w:ascii="仿宋_GB2312" w:hAnsi="仿宋_GB2312" w:eastAsia="仿宋_GB2312" w:cs="仿宋_GB2312"/>
                <w:b w:val="0"/>
                <w:color w:val="000000" w:themeColor="text1"/>
                <w:sz w:val="24"/>
                <w:szCs w:val="24"/>
                <w:highlight w:val="none"/>
                <w:u w:val="none"/>
                <w:lang w:val="en-US" w:eastAsia="zh-CN"/>
                <w14:textFill>
                  <w14:solidFill>
                    <w14:schemeClr w14:val="tx1"/>
                  </w14:solidFill>
                </w14:textFill>
              </w:rPr>
              <w:t>非侵入式脑机接口国家级建设试点相关标准≥1套。</w:t>
            </w:r>
          </w:p>
          <w:p w14:paraId="7F5DD787">
            <w:pPr>
              <w:pStyle w:val="17"/>
              <w:keepNext w:val="0"/>
              <w:keepLines w:val="0"/>
              <w:pageBreakBefore w:val="0"/>
              <w:kinsoku/>
              <w:wordWrap/>
              <w:overflowPunct/>
              <w:topLinePunct w:val="0"/>
              <w:autoSpaceDE/>
              <w:autoSpaceDN/>
              <w:bidi w:val="0"/>
              <w:adjustRightInd/>
              <w:snapToGrid w:val="0"/>
              <w:spacing w:line="400" w:lineRule="exact"/>
              <w:ind w:firstLine="514" w:firstLineChars="200"/>
              <w:textAlignment w:val="auto"/>
              <w:rPr>
                <w:rFonts w:hint="eastAsia" w:ascii="仿宋_GB2312" w:hAnsi="仿宋_GB2312" w:eastAsia="仿宋_GB2312" w:cs="仿宋_GB2312"/>
                <w:b w:val="0"/>
                <w:color w:val="000000" w:themeColor="text1"/>
                <w:sz w:val="24"/>
                <w:szCs w:val="24"/>
                <w:highlight w:val="none"/>
                <w:u w:val="none"/>
                <w:lang w:val="en-US" w:eastAsia="zh-CN"/>
                <w14:textFill>
                  <w14:solidFill>
                    <w14:schemeClr w14:val="tx1"/>
                  </w14:solidFill>
                </w14:textFill>
              </w:rPr>
            </w:pPr>
            <w:r>
              <w:rPr>
                <w:rFonts w:hint="eastAsia" w:ascii="仿宋_GB2312" w:hAnsi="仿宋_GB2312" w:eastAsia="仿宋_GB2312" w:cs="仿宋_GB2312"/>
                <w:b w:val="0"/>
                <w:color w:val="000000" w:themeColor="text1"/>
                <w:sz w:val="24"/>
                <w:szCs w:val="24"/>
                <w:highlight w:val="none"/>
                <w:u w:val="none"/>
                <w:lang w:val="en-US" w:eastAsia="zh-CN"/>
                <w14:textFill>
                  <w14:solidFill>
                    <w14:schemeClr w14:val="tx1"/>
                  </w14:solidFill>
                </w14:textFill>
              </w:rPr>
              <w:t>（4）完成高质量论文≥2篇；培养研究生≥5人；申请专利≥3件。</w:t>
            </w:r>
          </w:p>
          <w:p w14:paraId="6273B06B">
            <w:pPr>
              <w:pStyle w:val="17"/>
              <w:keepNext w:val="0"/>
              <w:keepLines w:val="0"/>
              <w:pageBreakBefore w:val="0"/>
              <w:kinsoku/>
              <w:wordWrap/>
              <w:overflowPunct/>
              <w:topLinePunct w:val="0"/>
              <w:autoSpaceDE/>
              <w:autoSpaceDN/>
              <w:bidi w:val="0"/>
              <w:adjustRightInd/>
              <w:snapToGrid w:val="0"/>
              <w:spacing w:line="400" w:lineRule="exact"/>
              <w:ind w:firstLine="514" w:firstLineChars="200"/>
              <w:textAlignment w:val="auto"/>
              <w:rPr>
                <w:rFonts w:hint="default" w:ascii="仿宋_GB2312" w:hAnsi="仿宋_GB2312" w:eastAsia="仿宋_GB2312" w:cs="仿宋_GB2312"/>
                <w:b w:val="0"/>
                <w:color w:val="000000" w:themeColor="text1"/>
                <w:sz w:val="24"/>
                <w:szCs w:val="24"/>
                <w:highlight w:val="none"/>
                <w:u w:val="none"/>
                <w:lang w:val="en-US" w:eastAsia="zh-CN"/>
                <w14:textFill>
                  <w14:solidFill>
                    <w14:schemeClr w14:val="tx1"/>
                  </w14:solidFill>
                </w14:textFill>
              </w:rPr>
            </w:pPr>
            <w:r>
              <w:rPr>
                <w:rFonts w:hint="eastAsia" w:ascii="仿宋_GB2312" w:hAnsi="仿宋_GB2312" w:eastAsia="仿宋_GB2312" w:cs="仿宋_GB2312"/>
                <w:b w:val="0"/>
                <w:color w:val="000000" w:themeColor="text1"/>
                <w:sz w:val="24"/>
                <w:szCs w:val="24"/>
                <w:highlight w:val="none"/>
                <w:u w:val="none"/>
                <w:lang w:val="en-US" w:eastAsia="zh-CN"/>
                <w14:textFill>
                  <w14:solidFill>
                    <w14:schemeClr w14:val="tx1"/>
                  </w14:solidFill>
                </w14:textFill>
              </w:rPr>
              <w:t>（5）项目预期新增产值≥200万元。</w:t>
            </w:r>
          </w:p>
          <w:p w14:paraId="5E9D14CB">
            <w:pPr>
              <w:keepNext w:val="0"/>
              <w:keepLines w:val="0"/>
              <w:pageBreakBefore w:val="0"/>
              <w:kinsoku/>
              <w:wordWrap/>
              <w:overflowPunct/>
              <w:topLinePunct w:val="0"/>
              <w:autoSpaceDE/>
              <w:autoSpaceDN/>
              <w:bidi w:val="0"/>
              <w:adjustRightInd/>
              <w:spacing w:line="400" w:lineRule="exact"/>
              <w:ind w:firstLine="514" w:firstLineChars="200"/>
              <w:textAlignment w:val="auto"/>
              <w:rPr>
                <w:rFonts w:hint="eastAsia" w:ascii="仿宋_GB2312" w:hAnsi="仿宋_GB2312" w:eastAsia="仿宋_GB2312" w:cs="仿宋_GB2312"/>
                <w:b/>
                <w:bCs/>
                <w:color w:val="000000" w:themeColor="text1"/>
                <w:kern w:val="0"/>
                <w:sz w:val="24"/>
                <w:szCs w:val="24"/>
                <w:u w:val="none"/>
                <w:lang w:val="en-US" w:eastAsia="zh-CN" w:bidi="ar-SA"/>
                <w14:textFill>
                  <w14:solidFill>
                    <w14:schemeClr w14:val="tx1"/>
                  </w14:solidFill>
                </w14:textFill>
              </w:rPr>
            </w:pPr>
            <w:r>
              <w:rPr>
                <w:rFonts w:hint="eastAsia" w:ascii="仿宋_GB2312" w:hAnsi="仿宋_GB2312" w:eastAsia="仿宋_GB2312" w:cs="仿宋_GB2312"/>
                <w:b/>
                <w:bCs/>
                <w:color w:val="000000" w:themeColor="text1"/>
                <w:kern w:val="0"/>
                <w:sz w:val="24"/>
                <w:szCs w:val="24"/>
                <w:u w:val="none"/>
                <w:lang w:val="en-US" w:eastAsia="zh-CN" w:bidi="ar-SA"/>
                <w14:textFill>
                  <w14:solidFill>
                    <w14:schemeClr w14:val="tx1"/>
                  </w14:solidFill>
                </w14:textFill>
              </w:rPr>
              <w:t>三、资助经费</w:t>
            </w:r>
          </w:p>
          <w:p w14:paraId="3A032C25">
            <w:pPr>
              <w:keepNext w:val="0"/>
              <w:keepLines w:val="0"/>
              <w:pageBreakBefore w:val="0"/>
              <w:kinsoku/>
              <w:wordWrap/>
              <w:overflowPunct/>
              <w:topLinePunct w:val="0"/>
              <w:autoSpaceDE/>
              <w:autoSpaceDN/>
              <w:bidi w:val="0"/>
              <w:adjustRightInd/>
              <w:spacing w:line="400" w:lineRule="exact"/>
              <w:ind w:firstLine="514" w:firstLineChars="200"/>
              <w:textAlignment w:val="auto"/>
              <w:rPr>
                <w:rFonts w:hint="eastAsia" w:ascii="仿宋_GB2312" w:eastAsia="仿宋_GB2312"/>
                <w:sz w:val="24"/>
                <w:szCs w:val="24"/>
                <w:u w:val="none"/>
              </w:rPr>
            </w:pPr>
            <w:r>
              <w:rPr>
                <w:rFonts w:hint="eastAsia" w:ascii="仿宋_GB2312" w:hAnsi="仿宋_GB2312" w:eastAsia="仿宋_GB2312" w:cs="仿宋_GB2312"/>
                <w:b w:val="0"/>
                <w:color w:val="000000" w:themeColor="text1"/>
                <w:kern w:val="0"/>
                <w:sz w:val="24"/>
                <w:szCs w:val="24"/>
                <w:u w:val="none"/>
                <w:lang w:val="en-US" w:eastAsia="zh-CN" w:bidi="ar-SA"/>
                <w14:textFill>
                  <w14:solidFill>
                    <w14:schemeClr w14:val="tx1"/>
                  </w14:solidFill>
                </w14:textFill>
              </w:rPr>
              <w:t>项目总投资400万元，申请科技资助200万元，自筹资金200万元。</w:t>
            </w:r>
          </w:p>
        </w:tc>
        <w:tc>
          <w:tcPr>
            <w:tcW w:w="1447" w:type="dxa"/>
            <w:tcBorders>
              <w:top w:val="single" w:color="auto" w:sz="4" w:space="0"/>
              <w:left w:val="single" w:color="auto" w:sz="4" w:space="0"/>
              <w:bottom w:val="single" w:color="auto" w:sz="4" w:space="0"/>
              <w:right w:val="single" w:color="auto" w:sz="4" w:space="0"/>
            </w:tcBorders>
            <w:vAlign w:val="center"/>
          </w:tcPr>
          <w:p w14:paraId="13FB0BA1">
            <w:pPr>
              <w:keepNext w:val="0"/>
              <w:keepLines w:val="0"/>
              <w:pageBreakBefore w:val="0"/>
              <w:kinsoku/>
              <w:wordWrap/>
              <w:overflowPunct/>
              <w:topLinePunct w:val="0"/>
              <w:autoSpaceDE/>
              <w:autoSpaceDN/>
              <w:bidi w:val="0"/>
              <w:adjustRightInd/>
              <w:snapToGrid w:val="0"/>
              <w:spacing w:line="400" w:lineRule="exact"/>
              <w:jc w:val="center"/>
              <w:textAlignment w:val="auto"/>
              <w:rPr>
                <w:rFonts w:hint="eastAsia" w:ascii="仿宋_GB2312" w:eastAsia="仿宋_GB2312"/>
                <w:sz w:val="24"/>
                <w:szCs w:val="24"/>
                <w:u w:val="none"/>
                <w:lang w:eastAsia="zh-CN"/>
              </w:rPr>
            </w:pPr>
            <w:r>
              <w:rPr>
                <w:rFonts w:ascii="仿宋_GB2312" w:hAnsi="仿宋_GB2312" w:eastAsia="仿宋_GB2312" w:cs="仿宋_GB2312"/>
                <w:b w:val="0"/>
                <w:sz w:val="24"/>
                <w:szCs w:val="24"/>
                <w:u w:val="none"/>
              </w:rPr>
              <w:t>200</w:t>
            </w:r>
          </w:p>
        </w:tc>
        <w:tc>
          <w:tcPr>
            <w:tcW w:w="1556" w:type="dxa"/>
            <w:tcBorders>
              <w:top w:val="single" w:color="auto" w:sz="4" w:space="0"/>
              <w:left w:val="single" w:color="auto" w:sz="4" w:space="0"/>
              <w:bottom w:val="single" w:color="auto" w:sz="4" w:space="0"/>
              <w:right w:val="single" w:color="auto" w:sz="4" w:space="0"/>
            </w:tcBorders>
            <w:vAlign w:val="center"/>
          </w:tcPr>
          <w:p w14:paraId="68334073">
            <w:r>
              <w:rPr>
                <w:rFonts w:hint="eastAsia" w:ascii="仿宋_GB2312" w:hAnsi="宋体" w:eastAsia="仿宋_GB2312" w:cs="宋体"/>
                <w:bCs/>
                <w:kern w:val="0"/>
                <w:sz w:val="24"/>
                <w:szCs w:val="24"/>
                <w:u w:val="none"/>
              </w:rPr>
              <w:t>申报单位须对本专题的整体研发内容和目标进行申报</w:t>
            </w:r>
          </w:p>
          <w:p w14:paraId="11F93150"/>
          <w:p w14:paraId="71547501"/>
          <w:p w14:paraId="4B881DEC"/>
          <w:p w14:paraId="3F9B96D8"/>
          <w:p w14:paraId="20F74C18"/>
          <w:p w14:paraId="2838524D"/>
          <w:p w14:paraId="5D3BD27B"/>
          <w:p w14:paraId="5C4F82D4"/>
          <w:p w14:paraId="589CC5D8"/>
          <w:p w14:paraId="22FE86C8"/>
          <w:p w14:paraId="35B073DF">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仿宋_GB2312" w:eastAsia="仿宋_GB2312"/>
                <w:sz w:val="24"/>
                <w:szCs w:val="24"/>
                <w:u w:val="none"/>
              </w:rPr>
            </w:pPr>
          </w:p>
        </w:tc>
      </w:tr>
    </w:tbl>
    <w:p w14:paraId="73814519">
      <w:pPr>
        <w:rPr>
          <w:rFonts w:hint="eastAsia"/>
          <w:u w:val="none"/>
          <w:lang w:val="en-US" w:eastAsia="zh-CN"/>
        </w:rPr>
      </w:pPr>
    </w:p>
    <w:p w14:paraId="579C485C">
      <w:pPr>
        <w:pStyle w:val="2"/>
        <w:rPr>
          <w:rFonts w:hint="eastAsia"/>
          <w:u w:val="none"/>
          <w:lang w:val="en-US" w:eastAsia="zh-CN"/>
        </w:rPr>
      </w:pPr>
    </w:p>
    <w:p w14:paraId="0F0DAB07">
      <w:pPr>
        <w:pStyle w:val="2"/>
        <w:rPr>
          <w:rFonts w:hint="eastAsia"/>
          <w:u w:val="none"/>
          <w:lang w:val="en-US" w:eastAsia="zh-CN"/>
        </w:rPr>
      </w:pPr>
    </w:p>
    <w:p w14:paraId="7EF6FE85">
      <w:pPr>
        <w:pStyle w:val="2"/>
        <w:rPr>
          <w:rFonts w:hint="eastAsia"/>
          <w:u w:val="none"/>
          <w:lang w:val="en-US" w:eastAsia="zh-CN"/>
        </w:rPr>
      </w:pPr>
    </w:p>
    <w:p w14:paraId="19AA283C">
      <w:pPr>
        <w:pStyle w:val="2"/>
        <w:rPr>
          <w:rFonts w:hint="eastAsia"/>
          <w:u w:val="none"/>
          <w:lang w:val="en-US" w:eastAsia="zh-CN"/>
        </w:rPr>
      </w:pPr>
    </w:p>
    <w:p w14:paraId="493BCC24">
      <w:pPr>
        <w:pStyle w:val="2"/>
        <w:rPr>
          <w:rFonts w:hint="eastAsia"/>
          <w:u w:val="none"/>
          <w:lang w:val="en-US" w:eastAsia="zh-CN"/>
        </w:rPr>
      </w:pPr>
    </w:p>
    <w:p w14:paraId="23F450DE">
      <w:pPr>
        <w:pStyle w:val="2"/>
        <w:rPr>
          <w:rFonts w:hint="eastAsia"/>
          <w:u w:val="none"/>
          <w:lang w:val="en-US" w:eastAsia="zh-CN"/>
        </w:rPr>
      </w:pPr>
    </w:p>
    <w:p w14:paraId="73B06663">
      <w:pPr>
        <w:pStyle w:val="2"/>
        <w:rPr>
          <w:rFonts w:hint="eastAsia"/>
          <w:u w:val="none"/>
          <w:lang w:val="en-US" w:eastAsia="zh-CN"/>
        </w:rPr>
      </w:pPr>
    </w:p>
    <w:p w14:paraId="170DA248">
      <w:pPr>
        <w:pStyle w:val="2"/>
        <w:rPr>
          <w:rFonts w:hint="eastAsia"/>
          <w:u w:val="none"/>
          <w:lang w:val="en-US" w:eastAsia="zh-CN"/>
        </w:rPr>
      </w:pPr>
    </w:p>
    <w:p w14:paraId="15F82C91">
      <w:pPr>
        <w:pStyle w:val="2"/>
        <w:rPr>
          <w:rFonts w:hint="eastAsia"/>
          <w:u w:val="none"/>
          <w:lang w:val="en-US" w:eastAsia="zh-CN"/>
        </w:rPr>
      </w:pPr>
    </w:p>
    <w:p w14:paraId="77FE3785">
      <w:pPr>
        <w:pStyle w:val="2"/>
        <w:rPr>
          <w:rFonts w:hint="eastAsia"/>
          <w:u w:val="none"/>
          <w:lang w:val="en-US" w:eastAsia="zh-CN"/>
        </w:rPr>
      </w:pPr>
    </w:p>
    <w:p w14:paraId="51A8FD6C">
      <w:pPr>
        <w:pStyle w:val="2"/>
        <w:rPr>
          <w:rFonts w:hint="eastAsia"/>
          <w:u w:val="none"/>
          <w:lang w:val="en-US" w:eastAsia="zh-CN"/>
        </w:rPr>
      </w:pPr>
    </w:p>
    <w:p w14:paraId="660209AC">
      <w:pPr>
        <w:pStyle w:val="2"/>
        <w:rPr>
          <w:rFonts w:hint="eastAsia"/>
          <w:u w:val="none"/>
          <w:lang w:val="en-US" w:eastAsia="zh-CN"/>
        </w:rPr>
      </w:pPr>
    </w:p>
    <w:p w14:paraId="32C02110">
      <w:pPr>
        <w:pStyle w:val="9"/>
        <w:jc w:val="center"/>
        <w:rPr>
          <w:rFonts w:hint="default" w:ascii="黑体" w:hAnsi="黑体" w:eastAsia="黑体" w:cs="黑体"/>
          <w:sz w:val="32"/>
          <w:szCs w:val="32"/>
          <w:u w:val="none"/>
          <w:lang w:val="en-US" w:eastAsia="zh-CN"/>
        </w:rPr>
      </w:pPr>
      <w:r>
        <w:rPr>
          <w:rFonts w:hint="eastAsia" w:ascii="黑体" w:hAnsi="黑体" w:eastAsia="黑体" w:cs="黑体"/>
          <w:sz w:val="32"/>
          <w:szCs w:val="32"/>
          <w:u w:val="none"/>
        </w:rPr>
        <w:t>科技重大专项申报选题表（</w:t>
      </w:r>
      <w:r>
        <w:rPr>
          <w:rFonts w:hint="eastAsia" w:ascii="黑体" w:hAnsi="黑体" w:eastAsia="黑体" w:cs="黑体"/>
          <w:sz w:val="32"/>
          <w:szCs w:val="32"/>
          <w:u w:val="none"/>
          <w:lang w:eastAsia="zh-CN"/>
        </w:rPr>
        <w:t>十</w:t>
      </w:r>
      <w:r>
        <w:rPr>
          <w:rFonts w:hint="eastAsia" w:ascii="黑体" w:hAnsi="黑体" w:eastAsia="黑体" w:cs="黑体"/>
          <w:sz w:val="32"/>
          <w:szCs w:val="32"/>
          <w:u w:val="none"/>
        </w:rPr>
        <w:t>）指南代码</w:t>
      </w:r>
      <w:r>
        <w:rPr>
          <w:rFonts w:ascii="黑体" w:hAnsi="黑体" w:eastAsia="黑体" w:cs="黑体"/>
          <w:sz w:val="32"/>
          <w:szCs w:val="32"/>
          <w:u w:val="none"/>
        </w:rPr>
        <w:t>202</w:t>
      </w:r>
      <w:r>
        <w:rPr>
          <w:rFonts w:hint="eastAsia" w:ascii="黑体" w:hAnsi="黑体" w:eastAsia="黑体" w:cs="黑体"/>
          <w:sz w:val="32"/>
          <w:szCs w:val="32"/>
          <w:u w:val="none"/>
          <w:lang w:val="en-US" w:eastAsia="zh-CN"/>
        </w:rPr>
        <w:t>6YZ0102</w:t>
      </w:r>
    </w:p>
    <w:tbl>
      <w:tblPr>
        <w:tblStyle w:val="12"/>
        <w:tblW w:w="9429" w:type="dxa"/>
        <w:tblInd w:w="-1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70"/>
        <w:gridCol w:w="1314"/>
        <w:gridCol w:w="3742"/>
        <w:gridCol w:w="1447"/>
        <w:gridCol w:w="1556"/>
      </w:tblGrid>
      <w:tr w14:paraId="63FBD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9" w:hRule="atLeast"/>
        </w:trPr>
        <w:tc>
          <w:tcPr>
            <w:tcW w:w="1370" w:type="dxa"/>
            <w:tcBorders>
              <w:top w:val="single" w:color="auto" w:sz="4" w:space="0"/>
              <w:left w:val="single" w:color="auto" w:sz="4" w:space="0"/>
              <w:bottom w:val="single" w:color="auto" w:sz="4" w:space="0"/>
              <w:right w:val="single" w:color="auto" w:sz="4" w:space="0"/>
            </w:tcBorders>
            <w:vAlign w:val="center"/>
          </w:tcPr>
          <w:p w14:paraId="180D788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bCs/>
                <w:kern w:val="0"/>
                <w:sz w:val="24"/>
                <w:szCs w:val="24"/>
                <w:u w:val="none"/>
              </w:rPr>
            </w:pPr>
            <w:r>
              <w:rPr>
                <w:rFonts w:hint="eastAsia" w:ascii="黑体" w:hAnsi="黑体" w:eastAsia="黑体" w:cs="黑体"/>
                <w:bCs/>
                <w:kern w:val="0"/>
                <w:sz w:val="24"/>
                <w:szCs w:val="24"/>
                <w:u w:val="none"/>
              </w:rPr>
              <w:t>所属重大专项名称</w:t>
            </w:r>
          </w:p>
        </w:tc>
        <w:tc>
          <w:tcPr>
            <w:tcW w:w="1314" w:type="dxa"/>
            <w:tcBorders>
              <w:top w:val="single" w:color="auto" w:sz="4" w:space="0"/>
              <w:left w:val="single" w:color="auto" w:sz="4" w:space="0"/>
              <w:bottom w:val="single" w:color="auto" w:sz="4" w:space="0"/>
              <w:right w:val="single" w:color="auto" w:sz="4" w:space="0"/>
            </w:tcBorders>
            <w:vAlign w:val="center"/>
          </w:tcPr>
          <w:p w14:paraId="42DF006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sz w:val="24"/>
                <w:szCs w:val="24"/>
                <w:u w:val="none"/>
              </w:rPr>
            </w:pPr>
            <w:r>
              <w:rPr>
                <w:rFonts w:hint="eastAsia" w:ascii="黑体" w:hAnsi="黑体" w:eastAsia="黑体" w:cs="黑体"/>
                <w:sz w:val="24"/>
                <w:szCs w:val="24"/>
                <w:u w:val="none"/>
              </w:rPr>
              <w:t>选题</w:t>
            </w:r>
          </w:p>
          <w:p w14:paraId="4EA3997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sz w:val="24"/>
                <w:szCs w:val="24"/>
                <w:u w:val="none"/>
              </w:rPr>
            </w:pPr>
            <w:r>
              <w:rPr>
                <w:rFonts w:hint="eastAsia" w:ascii="黑体" w:hAnsi="黑体" w:eastAsia="黑体" w:cs="黑体"/>
                <w:sz w:val="24"/>
                <w:szCs w:val="24"/>
                <w:u w:val="none"/>
              </w:rPr>
              <w:t>方向</w:t>
            </w:r>
          </w:p>
        </w:tc>
        <w:tc>
          <w:tcPr>
            <w:tcW w:w="3742" w:type="dxa"/>
            <w:tcBorders>
              <w:top w:val="single" w:color="auto" w:sz="4" w:space="0"/>
              <w:left w:val="single" w:color="auto" w:sz="4" w:space="0"/>
              <w:bottom w:val="single" w:color="auto" w:sz="4" w:space="0"/>
              <w:right w:val="single" w:color="auto" w:sz="4" w:space="0"/>
            </w:tcBorders>
            <w:vAlign w:val="center"/>
          </w:tcPr>
          <w:p w14:paraId="1C6E25C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sz w:val="24"/>
                <w:szCs w:val="24"/>
                <w:u w:val="none"/>
              </w:rPr>
            </w:pPr>
            <w:r>
              <w:rPr>
                <w:rFonts w:hint="eastAsia" w:ascii="黑体" w:hAnsi="黑体" w:eastAsia="黑体" w:cs="黑体"/>
                <w:sz w:val="24"/>
                <w:szCs w:val="24"/>
                <w:u w:val="none"/>
              </w:rPr>
              <w:t>选题方向重点内容</w:t>
            </w:r>
          </w:p>
        </w:tc>
        <w:tc>
          <w:tcPr>
            <w:tcW w:w="1447" w:type="dxa"/>
            <w:tcBorders>
              <w:top w:val="single" w:color="auto" w:sz="4" w:space="0"/>
              <w:left w:val="single" w:color="auto" w:sz="4" w:space="0"/>
              <w:bottom w:val="single" w:color="auto" w:sz="4" w:space="0"/>
              <w:right w:val="single" w:color="auto" w:sz="4" w:space="0"/>
            </w:tcBorders>
            <w:vAlign w:val="center"/>
          </w:tcPr>
          <w:p w14:paraId="62A99EE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sz w:val="24"/>
                <w:szCs w:val="24"/>
                <w:u w:val="none"/>
              </w:rPr>
            </w:pPr>
            <w:r>
              <w:rPr>
                <w:rFonts w:hint="eastAsia" w:ascii="黑体" w:hAnsi="黑体" w:eastAsia="黑体" w:cs="黑体"/>
                <w:sz w:val="24"/>
                <w:szCs w:val="24"/>
                <w:u w:val="none"/>
                <w:lang w:eastAsia="zh-CN"/>
              </w:rPr>
              <w:t>最高</w:t>
            </w:r>
            <w:r>
              <w:rPr>
                <w:rFonts w:hint="eastAsia" w:ascii="黑体" w:hAnsi="黑体" w:eastAsia="黑体" w:cs="黑体"/>
                <w:sz w:val="24"/>
                <w:szCs w:val="24"/>
                <w:u w:val="none"/>
              </w:rPr>
              <w:t>申请资助经费</w:t>
            </w:r>
          </w:p>
          <w:p w14:paraId="242BC30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sz w:val="24"/>
                <w:szCs w:val="24"/>
                <w:u w:val="none"/>
              </w:rPr>
            </w:pPr>
            <w:r>
              <w:rPr>
                <w:rFonts w:hint="eastAsia" w:ascii="黑体" w:hAnsi="黑体" w:eastAsia="黑体" w:cs="黑体"/>
                <w:sz w:val="24"/>
                <w:szCs w:val="24"/>
                <w:u w:val="none"/>
              </w:rPr>
              <w:t>（万元）</w:t>
            </w:r>
          </w:p>
        </w:tc>
        <w:tc>
          <w:tcPr>
            <w:tcW w:w="1556" w:type="dxa"/>
            <w:tcBorders>
              <w:top w:val="single" w:color="auto" w:sz="4" w:space="0"/>
              <w:left w:val="single" w:color="auto" w:sz="4" w:space="0"/>
              <w:bottom w:val="single" w:color="auto" w:sz="4" w:space="0"/>
              <w:right w:val="single" w:color="auto" w:sz="4" w:space="0"/>
            </w:tcBorders>
            <w:vAlign w:val="center"/>
          </w:tcPr>
          <w:p w14:paraId="17F4727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sz w:val="24"/>
                <w:szCs w:val="24"/>
                <w:u w:val="none"/>
              </w:rPr>
            </w:pPr>
            <w:r>
              <w:rPr>
                <w:rFonts w:hint="eastAsia" w:ascii="仿宋_GB2312" w:hAnsi="仿宋_GB2312" w:eastAsia="仿宋_GB2312" w:cs="仿宋_GB2312"/>
                <w:b/>
                <w:sz w:val="24"/>
                <w:szCs w:val="24"/>
                <w:u w:val="none"/>
              </w:rPr>
              <w:t>要求</w:t>
            </w:r>
          </w:p>
        </w:tc>
      </w:tr>
      <w:tr w14:paraId="5FA3E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9" w:hRule="atLeast"/>
        </w:trPr>
        <w:tc>
          <w:tcPr>
            <w:tcW w:w="1370" w:type="dxa"/>
            <w:tcBorders>
              <w:top w:val="single" w:color="auto" w:sz="4" w:space="0"/>
              <w:left w:val="single" w:color="auto" w:sz="4" w:space="0"/>
              <w:bottom w:val="single" w:color="auto" w:sz="4" w:space="0"/>
              <w:right w:val="single" w:color="auto" w:sz="4" w:space="0"/>
            </w:tcBorders>
            <w:vAlign w:val="center"/>
          </w:tcPr>
          <w:p w14:paraId="721122EE">
            <w:pPr>
              <w:keepNext w:val="0"/>
              <w:keepLines w:val="0"/>
              <w:pageBreakBefore w:val="0"/>
              <w:kinsoku/>
              <w:wordWrap/>
              <w:overflowPunct/>
              <w:topLinePunct w:val="0"/>
              <w:autoSpaceDE/>
              <w:autoSpaceDN/>
              <w:bidi w:val="0"/>
              <w:adjustRightInd/>
              <w:snapToGrid w:val="0"/>
              <w:spacing w:line="400" w:lineRule="exact"/>
              <w:jc w:val="center"/>
              <w:textAlignment w:val="auto"/>
              <w:rPr>
                <w:rFonts w:hint="eastAsia" w:ascii="仿宋_GB2312" w:hAnsi="宋体" w:eastAsia="仿宋_GB2312" w:cs="宋体"/>
                <w:bCs/>
                <w:kern w:val="0"/>
                <w:sz w:val="24"/>
                <w:szCs w:val="24"/>
                <w:u w:val="none"/>
              </w:rPr>
            </w:pPr>
            <w:r>
              <w:rPr>
                <w:rFonts w:hint="eastAsia" w:ascii="仿宋_GB2312" w:hAnsi="仿宋_GB2312" w:cs="仿宋_GB2312"/>
                <w:b w:val="0"/>
                <w:sz w:val="24"/>
                <w:szCs w:val="24"/>
                <w:u w:val="none"/>
                <w:lang w:eastAsia="zh-CN"/>
              </w:rPr>
              <w:t>脑机接口技术</w:t>
            </w:r>
          </w:p>
        </w:tc>
        <w:tc>
          <w:tcPr>
            <w:tcW w:w="1314" w:type="dxa"/>
            <w:tcBorders>
              <w:top w:val="single" w:color="auto" w:sz="4" w:space="0"/>
              <w:left w:val="single" w:color="auto" w:sz="4" w:space="0"/>
              <w:bottom w:val="single" w:color="auto" w:sz="4" w:space="0"/>
              <w:right w:val="single" w:color="auto" w:sz="4" w:space="0"/>
            </w:tcBorders>
            <w:vAlign w:val="center"/>
          </w:tcPr>
          <w:p w14:paraId="19525CB5">
            <w:pPr>
              <w:keepNext w:val="0"/>
              <w:keepLines w:val="0"/>
              <w:pageBreakBefore w:val="0"/>
              <w:kinsoku/>
              <w:wordWrap/>
              <w:overflowPunct/>
              <w:topLinePunct w:val="0"/>
              <w:autoSpaceDE/>
              <w:autoSpaceDN/>
              <w:bidi w:val="0"/>
              <w:adjustRightInd/>
              <w:snapToGrid w:val="0"/>
              <w:spacing w:line="400" w:lineRule="exact"/>
              <w:jc w:val="center"/>
              <w:textAlignment w:val="auto"/>
              <w:rPr>
                <w:rFonts w:hint="eastAsia" w:ascii="仿宋_GB2312" w:eastAsia="仿宋_GB2312"/>
                <w:sz w:val="24"/>
                <w:szCs w:val="24"/>
                <w:u w:val="none"/>
              </w:rPr>
            </w:pPr>
            <w:r>
              <w:rPr>
                <w:rFonts w:ascii="仿宋_GB2312" w:hAnsi="仿宋_GB2312" w:eastAsia="仿宋_GB2312" w:cs="仿宋_GB2312"/>
                <w:b w:val="0"/>
                <w:sz w:val="24"/>
                <w:szCs w:val="24"/>
                <w:u w:val="none"/>
              </w:rPr>
              <w:t>多模态融合感知驱动的帕金森病脑机接口关键技术研究</w:t>
            </w:r>
          </w:p>
        </w:tc>
        <w:tc>
          <w:tcPr>
            <w:tcW w:w="3742" w:type="dxa"/>
            <w:tcBorders>
              <w:top w:val="single" w:color="auto" w:sz="4" w:space="0"/>
              <w:left w:val="single" w:color="auto" w:sz="4" w:space="0"/>
              <w:bottom w:val="single" w:color="auto" w:sz="4" w:space="0"/>
              <w:right w:val="single" w:color="auto" w:sz="4" w:space="0"/>
            </w:tcBorders>
            <w:vAlign w:val="top"/>
          </w:tcPr>
          <w:p w14:paraId="4127C505">
            <w:pPr>
              <w:pStyle w:val="17"/>
              <w:keepNext w:val="0"/>
              <w:keepLines w:val="0"/>
              <w:pageBreakBefore w:val="0"/>
              <w:kinsoku/>
              <w:wordWrap/>
              <w:overflowPunct/>
              <w:topLinePunct w:val="0"/>
              <w:autoSpaceDE/>
              <w:autoSpaceDN/>
              <w:bidi w:val="0"/>
              <w:adjustRightInd/>
              <w:snapToGrid w:val="0"/>
              <w:spacing w:line="400" w:lineRule="exact"/>
              <w:ind w:firstLine="514" w:firstLineChars="200"/>
              <w:textAlignment w:val="auto"/>
              <w:rPr>
                <w:sz w:val="24"/>
                <w:szCs w:val="24"/>
                <w:u w:val="none"/>
              </w:rPr>
            </w:pPr>
            <w:r>
              <w:rPr>
                <w:rFonts w:ascii="仿宋_GB2312" w:hAnsi="仿宋_GB2312" w:eastAsia="仿宋_GB2312" w:cs="仿宋_GB2312"/>
                <w:b/>
                <w:sz w:val="24"/>
                <w:szCs w:val="24"/>
                <w:u w:val="none"/>
              </w:rPr>
              <w:t>一、主要研发内容</w:t>
            </w:r>
          </w:p>
          <w:p w14:paraId="6D976D46">
            <w:pPr>
              <w:pStyle w:val="17"/>
              <w:keepNext w:val="0"/>
              <w:keepLines w:val="0"/>
              <w:pageBreakBefore w:val="0"/>
              <w:kinsoku/>
              <w:wordWrap/>
              <w:overflowPunct/>
              <w:topLinePunct w:val="0"/>
              <w:autoSpaceDE/>
              <w:autoSpaceDN/>
              <w:bidi w:val="0"/>
              <w:adjustRightInd/>
              <w:snapToGrid w:val="0"/>
              <w:spacing w:line="400" w:lineRule="exact"/>
              <w:ind w:firstLine="514" w:firstLineChars="200"/>
              <w:textAlignment w:val="auto"/>
              <w:rPr>
                <w:rFonts w:ascii="仿宋_GB2312" w:hAnsi="仿宋_GB2312" w:eastAsia="仿宋_GB2312" w:cs="仿宋_GB2312"/>
                <w:sz w:val="24"/>
                <w:szCs w:val="24"/>
                <w:u w:val="none"/>
              </w:rPr>
            </w:pPr>
            <w:r>
              <w:rPr>
                <w:rFonts w:ascii="仿宋_GB2312" w:hAnsi="仿宋_GB2312" w:eastAsia="仿宋_GB2312" w:cs="仿宋_GB2312"/>
                <w:b w:val="0"/>
                <w:sz w:val="24"/>
                <w:szCs w:val="24"/>
                <w:u w:val="none"/>
              </w:rPr>
              <w:t>1.</w:t>
            </w:r>
            <w:r>
              <w:rPr>
                <w:rFonts w:ascii="仿宋_GB2312" w:hAnsi="仿宋_GB2312" w:eastAsia="仿宋_GB2312" w:cs="仿宋_GB2312"/>
                <w:b w:val="0"/>
                <w:sz w:val="24"/>
                <w:szCs w:val="24"/>
                <w:u w:val="none"/>
                <w:lang w:val="en-US" w:eastAsia="zh-CN"/>
              </w:rPr>
              <w:t>围绕侵入式脑机接口技术中长期稳</w:t>
            </w:r>
            <w:r>
              <w:rPr>
                <w:rFonts w:hint="eastAsia" w:ascii="仿宋_GB2312" w:hAnsi="仿宋_GB2312" w:eastAsia="仿宋_GB2312" w:cs="仿宋_GB2312"/>
                <w:b w:val="0"/>
                <w:sz w:val="24"/>
                <w:szCs w:val="24"/>
                <w:u w:val="none"/>
                <w:lang w:val="en-US" w:eastAsia="zh-CN"/>
              </w:rPr>
              <w:t>定构筑对微创植入式柔软高分辨电极的需求，研究:</w:t>
            </w:r>
            <w:r>
              <w:rPr>
                <w:rFonts w:ascii="仿宋_GB2312" w:hAnsi="仿宋_GB2312" w:eastAsia="仿宋_GB2312" w:cs="仿宋_GB2312"/>
                <w:b w:val="0"/>
                <w:sz w:val="24"/>
                <w:szCs w:val="24"/>
                <w:u w:val="none"/>
                <w:lang w:val="en-US" w:eastAsia="zh-CN"/>
              </w:rPr>
              <w:t>柔软高分辨纤维电极的制备及跨</w:t>
            </w:r>
            <w:r>
              <w:rPr>
                <w:rFonts w:hint="eastAsia" w:ascii="仿宋_GB2312" w:hAnsi="仿宋_GB2312" w:eastAsia="仿宋_GB2312" w:cs="仿宋_GB2312"/>
                <w:b w:val="0"/>
                <w:sz w:val="24"/>
                <w:szCs w:val="24"/>
                <w:u w:val="none"/>
                <w:lang w:val="en-US" w:eastAsia="zh-CN"/>
              </w:rPr>
              <w:t>脑区微创植入方案，</w:t>
            </w:r>
            <w:r>
              <w:rPr>
                <w:rFonts w:ascii="仿宋_GB2312" w:hAnsi="仿宋_GB2312" w:eastAsia="仿宋_GB2312" w:cs="仿宋_GB2312"/>
                <w:b w:val="0"/>
                <w:sz w:val="24"/>
                <w:szCs w:val="24"/>
                <w:u w:val="none"/>
                <w:lang w:val="en-US" w:eastAsia="zh-CN"/>
              </w:rPr>
              <w:t>高速</w:t>
            </w:r>
            <w:r>
              <w:rPr>
                <w:rFonts w:hint="eastAsia" w:ascii="仿宋_GB2312" w:hAnsi="仿宋_GB2312" w:eastAsia="仿宋_GB2312" w:cs="仿宋_GB2312"/>
                <w:b w:val="0"/>
                <w:sz w:val="24"/>
                <w:szCs w:val="24"/>
                <w:u w:val="none"/>
                <w:lang w:val="en-US" w:eastAsia="zh-CN"/>
              </w:rPr>
              <w:t>无线信号传输模块开发及软、硬接口设计</w:t>
            </w:r>
            <w:r>
              <w:rPr>
                <w:rFonts w:hint="eastAsia" w:ascii="仿宋_GB2312" w:hAnsi="仿宋_GB2312" w:eastAsia="仿宋_GB2312" w:cs="仿宋_GB2312"/>
                <w:b w:val="0"/>
                <w:sz w:val="24"/>
                <w:szCs w:val="24"/>
                <w:u w:val="none"/>
              </w:rPr>
              <w:t>。</w:t>
            </w:r>
          </w:p>
          <w:p w14:paraId="18498A6A">
            <w:pPr>
              <w:pStyle w:val="17"/>
              <w:keepNext w:val="0"/>
              <w:keepLines w:val="0"/>
              <w:pageBreakBefore w:val="0"/>
              <w:kinsoku/>
              <w:wordWrap/>
              <w:overflowPunct/>
              <w:topLinePunct w:val="0"/>
              <w:autoSpaceDE/>
              <w:autoSpaceDN/>
              <w:bidi w:val="0"/>
              <w:adjustRightInd/>
              <w:snapToGrid w:val="0"/>
              <w:spacing w:line="400" w:lineRule="exact"/>
              <w:ind w:firstLine="514" w:firstLineChars="200"/>
              <w:textAlignment w:val="auto"/>
              <w:rPr>
                <w:rFonts w:ascii="仿宋_GB2312" w:hAnsi="仿宋_GB2312" w:eastAsia="仿宋_GB2312" w:cs="仿宋_GB2312"/>
                <w:b w:val="0"/>
                <w:sz w:val="24"/>
                <w:szCs w:val="24"/>
                <w:u w:val="none"/>
              </w:rPr>
            </w:pPr>
            <w:r>
              <w:rPr>
                <w:rFonts w:hint="eastAsia" w:ascii="仿宋_GB2312" w:hAnsi="仿宋_GB2312" w:eastAsia="仿宋_GB2312" w:cs="仿宋_GB2312"/>
                <w:b w:val="0"/>
                <w:sz w:val="24"/>
                <w:szCs w:val="24"/>
                <w:u w:val="none"/>
                <w:lang w:val="en-US" w:eastAsia="zh-CN"/>
              </w:rPr>
              <w:t>2</w:t>
            </w:r>
            <w:r>
              <w:rPr>
                <w:rFonts w:ascii="仿宋_GB2312" w:hAnsi="仿宋_GB2312" w:eastAsia="仿宋_GB2312" w:cs="仿宋_GB2312"/>
                <w:b w:val="0"/>
                <w:sz w:val="24"/>
                <w:szCs w:val="24"/>
                <w:u w:val="none"/>
              </w:rPr>
              <w:t>.</w:t>
            </w:r>
            <w:r>
              <w:rPr>
                <w:rFonts w:hint="eastAsia" w:ascii="仿宋_GB2312" w:hAnsi="仿宋_GB2312" w:eastAsia="仿宋_GB2312" w:cs="仿宋_GB2312"/>
                <w:b w:val="0"/>
                <w:sz w:val="24"/>
                <w:szCs w:val="24"/>
                <w:u w:val="none"/>
              </w:rPr>
              <w:t>基于</w:t>
            </w:r>
            <w:r>
              <w:rPr>
                <w:rFonts w:hint="eastAsia" w:ascii="仿宋_GB2312" w:hAnsi="仿宋_GB2312" w:eastAsia="仿宋_GB2312" w:cs="仿宋_GB2312"/>
                <w:b w:val="0"/>
                <w:sz w:val="24"/>
                <w:szCs w:val="24"/>
                <w:u w:val="none"/>
                <w:lang w:val="en-US" w:eastAsia="zh-CN"/>
              </w:rPr>
              <w:t>现有临床数据，</w:t>
            </w:r>
            <w:r>
              <w:rPr>
                <w:rFonts w:hint="eastAsia" w:ascii="仿宋_GB2312" w:hAnsi="仿宋_GB2312" w:eastAsia="仿宋_GB2312" w:cs="仿宋_GB2312"/>
                <w:b w:val="0"/>
                <w:sz w:val="24"/>
                <w:szCs w:val="24"/>
                <w:u w:val="none"/>
              </w:rPr>
              <w:t>同步</w:t>
            </w:r>
            <w:r>
              <w:rPr>
                <w:rFonts w:hint="eastAsia" w:ascii="仿宋_GB2312" w:hAnsi="仿宋_GB2312" w:eastAsia="仿宋_GB2312" w:cs="仿宋_GB2312"/>
                <w:b w:val="0"/>
                <w:sz w:val="24"/>
                <w:szCs w:val="24"/>
                <w:u w:val="none"/>
                <w:lang w:val="en-US" w:eastAsia="zh-CN"/>
              </w:rPr>
              <w:t>局部场电位（</w:t>
            </w:r>
            <w:r>
              <w:rPr>
                <w:rFonts w:hint="eastAsia" w:ascii="仿宋_GB2312" w:hAnsi="仿宋_GB2312" w:eastAsia="仿宋_GB2312" w:cs="仿宋_GB2312"/>
                <w:b w:val="0"/>
                <w:sz w:val="24"/>
                <w:szCs w:val="24"/>
                <w:u w:val="none"/>
              </w:rPr>
              <w:t>LFP</w:t>
            </w:r>
            <w:r>
              <w:rPr>
                <w:rFonts w:hint="eastAsia" w:ascii="仿宋_GB2312" w:hAnsi="仿宋_GB2312" w:eastAsia="仿宋_GB2312" w:cs="仿宋_GB2312"/>
                <w:b w:val="0"/>
                <w:sz w:val="24"/>
                <w:szCs w:val="24"/>
                <w:u w:val="none"/>
                <w:lang w:val="en-US" w:eastAsia="zh-CN"/>
              </w:rPr>
              <w:t>）</w:t>
            </w:r>
            <w:r>
              <w:rPr>
                <w:rFonts w:hint="eastAsia" w:ascii="仿宋_GB2312" w:hAnsi="仿宋_GB2312" w:eastAsia="仿宋_GB2312" w:cs="仿宋_GB2312"/>
                <w:b w:val="0"/>
                <w:sz w:val="24"/>
                <w:szCs w:val="24"/>
                <w:u w:val="none"/>
              </w:rPr>
              <w:t>及EEG等神经电生理信号与体征</w:t>
            </w:r>
            <w:r>
              <w:rPr>
                <w:rFonts w:hint="eastAsia" w:ascii="仿宋_GB2312" w:hAnsi="仿宋_GB2312" w:eastAsia="仿宋_GB2312" w:cs="仿宋_GB2312"/>
                <w:b w:val="0"/>
                <w:sz w:val="24"/>
                <w:szCs w:val="24"/>
                <w:u w:val="none"/>
                <w:lang w:val="en-US" w:eastAsia="zh-CN"/>
              </w:rPr>
              <w:t>信号</w:t>
            </w:r>
            <w:r>
              <w:rPr>
                <w:rFonts w:hint="eastAsia" w:ascii="仿宋_GB2312" w:hAnsi="仿宋_GB2312" w:eastAsia="仿宋_GB2312" w:cs="仿宋_GB2312"/>
                <w:b w:val="0"/>
                <w:sz w:val="24"/>
                <w:szCs w:val="24"/>
                <w:u w:val="none"/>
                <w:lang w:eastAsia="zh-CN"/>
              </w:rPr>
              <w:t>，</w:t>
            </w:r>
            <w:r>
              <w:rPr>
                <w:rFonts w:hint="eastAsia" w:ascii="仿宋_GB2312" w:hAnsi="仿宋_GB2312" w:eastAsia="仿宋_GB2312" w:cs="仿宋_GB2312"/>
                <w:b w:val="0"/>
                <w:sz w:val="24"/>
                <w:szCs w:val="24"/>
                <w:u w:val="none"/>
              </w:rPr>
              <w:t>形成帕金森病</w:t>
            </w:r>
            <w:r>
              <w:rPr>
                <w:rFonts w:hint="eastAsia" w:ascii="仿宋_GB2312" w:hAnsi="仿宋_GB2312" w:eastAsia="仿宋_GB2312" w:cs="仿宋_GB2312"/>
                <w:b w:val="0"/>
                <w:sz w:val="24"/>
                <w:szCs w:val="24"/>
                <w:u w:val="none"/>
                <w:lang w:eastAsia="zh-CN"/>
              </w:rPr>
              <w:t>（</w:t>
            </w:r>
            <w:r>
              <w:rPr>
                <w:rFonts w:hint="eastAsia" w:ascii="仿宋_GB2312" w:hAnsi="仿宋_GB2312" w:eastAsia="仿宋_GB2312" w:cs="仿宋_GB2312"/>
                <w:b w:val="0"/>
                <w:sz w:val="24"/>
                <w:szCs w:val="24"/>
                <w:u w:val="none"/>
              </w:rPr>
              <w:t>PD</w:t>
            </w:r>
            <w:r>
              <w:rPr>
                <w:rFonts w:hint="eastAsia" w:ascii="仿宋_GB2312" w:hAnsi="仿宋_GB2312" w:eastAsia="仿宋_GB2312" w:cs="仿宋_GB2312"/>
                <w:b w:val="0"/>
                <w:sz w:val="24"/>
                <w:szCs w:val="24"/>
                <w:u w:val="none"/>
                <w:lang w:eastAsia="zh-CN"/>
              </w:rPr>
              <w:t>）</w:t>
            </w:r>
            <w:r>
              <w:rPr>
                <w:rFonts w:hint="eastAsia" w:ascii="仿宋_GB2312" w:hAnsi="仿宋_GB2312" w:eastAsia="仿宋_GB2312" w:cs="仿宋_GB2312"/>
                <w:b w:val="0"/>
                <w:sz w:val="24"/>
                <w:szCs w:val="24"/>
                <w:u w:val="none"/>
              </w:rPr>
              <w:t>患者的个性化画像，为</w:t>
            </w:r>
            <w:r>
              <w:rPr>
                <w:rFonts w:hint="eastAsia" w:ascii="仿宋_GB2312" w:hAnsi="仿宋_GB2312" w:eastAsia="仿宋_GB2312" w:cs="仿宋_GB2312"/>
                <w:b w:val="0"/>
                <w:sz w:val="24"/>
                <w:szCs w:val="24"/>
                <w:u w:val="none"/>
                <w:lang w:val="en-US" w:eastAsia="zh-CN"/>
              </w:rPr>
              <w:t>深脑刺激（</w:t>
            </w:r>
            <w:r>
              <w:rPr>
                <w:rFonts w:hint="eastAsia" w:ascii="仿宋_GB2312" w:hAnsi="仿宋_GB2312" w:eastAsia="仿宋_GB2312" w:cs="仿宋_GB2312"/>
                <w:b w:val="0"/>
                <w:sz w:val="24"/>
                <w:szCs w:val="24"/>
                <w:u w:val="none"/>
              </w:rPr>
              <w:t>DBS</w:t>
            </w:r>
            <w:r>
              <w:rPr>
                <w:rFonts w:hint="eastAsia" w:ascii="仿宋_GB2312" w:hAnsi="仿宋_GB2312" w:eastAsia="仿宋_GB2312" w:cs="仿宋_GB2312"/>
                <w:b w:val="0"/>
                <w:sz w:val="24"/>
                <w:szCs w:val="24"/>
                <w:u w:val="none"/>
                <w:lang w:val="en-US" w:eastAsia="zh-CN"/>
              </w:rPr>
              <w:t>）</w:t>
            </w:r>
            <w:r>
              <w:rPr>
                <w:rFonts w:hint="eastAsia" w:ascii="仿宋_GB2312" w:hAnsi="仿宋_GB2312" w:eastAsia="仿宋_GB2312" w:cs="仿宋_GB2312"/>
                <w:b w:val="0"/>
                <w:sz w:val="24"/>
                <w:szCs w:val="24"/>
                <w:u w:val="none"/>
              </w:rPr>
              <w:t>参数优化提供临床疗效评估基础</w:t>
            </w:r>
            <w:r>
              <w:rPr>
                <w:rFonts w:hint="eastAsia" w:ascii="仿宋_GB2312" w:hAnsi="仿宋_GB2312" w:eastAsia="仿宋_GB2312" w:cs="仿宋_GB2312"/>
                <w:b w:val="0"/>
                <w:sz w:val="24"/>
                <w:szCs w:val="24"/>
                <w:u w:val="none"/>
                <w:lang w:eastAsia="zh-CN"/>
              </w:rPr>
              <w:t>；</w:t>
            </w:r>
            <w:r>
              <w:rPr>
                <w:rFonts w:ascii="仿宋_GB2312" w:hAnsi="仿宋_GB2312" w:eastAsia="仿宋_GB2312" w:cs="仿宋_GB2312"/>
                <w:b w:val="0"/>
                <w:sz w:val="24"/>
                <w:szCs w:val="24"/>
                <w:u w:val="none"/>
              </w:rPr>
              <w:t>建立静息态</w:t>
            </w:r>
            <w:r>
              <w:rPr>
                <w:rFonts w:hint="eastAsia" w:ascii="仿宋_GB2312" w:hAnsi="仿宋_GB2312" w:eastAsia="仿宋_GB2312" w:cs="仿宋_GB2312"/>
                <w:b w:val="0"/>
                <w:sz w:val="24"/>
                <w:szCs w:val="24"/>
                <w:u w:val="none"/>
                <w:lang w:val="en-US" w:eastAsia="zh-CN"/>
              </w:rPr>
              <w:t>和</w:t>
            </w:r>
            <w:r>
              <w:rPr>
                <w:rFonts w:ascii="仿宋_GB2312" w:hAnsi="仿宋_GB2312" w:eastAsia="仿宋_GB2312" w:cs="仿宋_GB2312"/>
                <w:b w:val="0"/>
                <w:sz w:val="24"/>
                <w:szCs w:val="24"/>
                <w:u w:val="none"/>
              </w:rPr>
              <w:t>任务态</w:t>
            </w:r>
            <w:r>
              <w:rPr>
                <w:rFonts w:hint="eastAsia" w:ascii="仿宋_GB2312" w:hAnsi="仿宋_GB2312" w:eastAsia="仿宋_GB2312" w:cs="仿宋_GB2312"/>
                <w:b w:val="0"/>
                <w:sz w:val="24"/>
                <w:szCs w:val="24"/>
                <w:u w:val="none"/>
                <w:lang w:eastAsia="zh-CN"/>
              </w:rPr>
              <w:t>的</w:t>
            </w:r>
            <w:r>
              <w:rPr>
                <w:rFonts w:ascii="仿宋_GB2312" w:hAnsi="仿宋_GB2312" w:eastAsia="仿宋_GB2312" w:cs="仿宋_GB2312"/>
                <w:b w:val="0"/>
                <w:sz w:val="24"/>
                <w:szCs w:val="24"/>
                <w:u w:val="none"/>
              </w:rPr>
              <w:t>多模态感知范式，构建</w:t>
            </w:r>
            <w:r>
              <w:rPr>
                <w:rFonts w:hint="eastAsia" w:ascii="仿宋_GB2312" w:hAnsi="仿宋_GB2312" w:eastAsia="仿宋_GB2312" w:cs="仿宋_GB2312"/>
                <w:b w:val="0"/>
                <w:sz w:val="24"/>
                <w:szCs w:val="24"/>
                <w:u w:val="none"/>
              </w:rPr>
              <w:t>PD</w:t>
            </w:r>
            <w:r>
              <w:rPr>
                <w:rFonts w:hint="eastAsia" w:ascii="仿宋_GB2312" w:hAnsi="仿宋_GB2312" w:eastAsia="仿宋_GB2312" w:cs="仿宋_GB2312"/>
                <w:b w:val="0"/>
                <w:sz w:val="24"/>
                <w:szCs w:val="24"/>
                <w:u w:val="none"/>
                <w:lang w:val="en-US" w:eastAsia="zh-CN"/>
              </w:rPr>
              <w:t>患者</w:t>
            </w:r>
            <w:r>
              <w:rPr>
                <w:rFonts w:hint="eastAsia" w:ascii="仿宋_GB2312" w:hAnsi="仿宋_GB2312" w:eastAsia="仿宋_GB2312" w:cs="仿宋_GB2312"/>
                <w:b w:val="0"/>
                <w:sz w:val="24"/>
                <w:szCs w:val="24"/>
                <w:u w:val="none"/>
              </w:rPr>
              <w:t>特异性深层核团与皮层脑网络</w:t>
            </w:r>
            <w:r>
              <w:rPr>
                <w:rFonts w:ascii="仿宋_GB2312" w:hAnsi="仿宋_GB2312" w:eastAsia="仿宋_GB2312" w:cs="仿宋_GB2312"/>
                <w:b w:val="0"/>
                <w:sz w:val="24"/>
                <w:szCs w:val="24"/>
                <w:u w:val="none"/>
              </w:rPr>
              <w:t>。</w:t>
            </w:r>
          </w:p>
          <w:p w14:paraId="379BC0E1">
            <w:pPr>
              <w:pStyle w:val="17"/>
              <w:keepNext w:val="0"/>
              <w:keepLines w:val="0"/>
              <w:pageBreakBefore w:val="0"/>
              <w:kinsoku/>
              <w:wordWrap/>
              <w:overflowPunct/>
              <w:topLinePunct w:val="0"/>
              <w:autoSpaceDE/>
              <w:autoSpaceDN/>
              <w:bidi w:val="0"/>
              <w:adjustRightInd/>
              <w:snapToGrid w:val="0"/>
              <w:spacing w:line="400" w:lineRule="exact"/>
              <w:textAlignment w:val="auto"/>
              <w:rPr>
                <w:sz w:val="24"/>
                <w:szCs w:val="24"/>
                <w:u w:val="none"/>
              </w:rPr>
            </w:pPr>
            <w:r>
              <w:rPr>
                <w:rFonts w:hint="eastAsia" w:ascii="仿宋_GB2312" w:hAnsi="仿宋_GB2312" w:eastAsia="仿宋_GB2312" w:cs="仿宋_GB2312"/>
                <w:b w:val="0"/>
                <w:sz w:val="24"/>
                <w:szCs w:val="24"/>
                <w:u w:val="none"/>
                <w:lang w:val="en-US" w:eastAsia="zh-CN"/>
              </w:rPr>
              <w:t>3</w:t>
            </w:r>
            <w:r>
              <w:rPr>
                <w:rFonts w:ascii="仿宋_GB2312" w:hAnsi="仿宋_GB2312" w:eastAsia="仿宋_GB2312" w:cs="仿宋_GB2312"/>
                <w:b w:val="0"/>
                <w:sz w:val="24"/>
                <w:szCs w:val="24"/>
                <w:u w:val="none"/>
              </w:rPr>
              <w:t>.研究</w:t>
            </w:r>
            <w:r>
              <w:rPr>
                <w:rFonts w:hint="eastAsia" w:ascii="仿宋_GB2312" w:hAnsi="仿宋_GB2312" w:eastAsia="仿宋_GB2312" w:cs="仿宋_GB2312"/>
                <w:b w:val="0"/>
                <w:sz w:val="24"/>
                <w:szCs w:val="24"/>
                <w:u w:val="none"/>
              </w:rPr>
              <w:t>多模态神经特征及脑网络</w:t>
            </w:r>
            <w:r>
              <w:rPr>
                <w:rFonts w:ascii="仿宋_GB2312" w:hAnsi="仿宋_GB2312" w:eastAsia="仿宋_GB2312" w:cs="仿宋_GB2312"/>
                <w:b w:val="0"/>
                <w:sz w:val="24"/>
                <w:szCs w:val="24"/>
                <w:u w:val="none"/>
              </w:rPr>
              <w:t>与临床疗效关系，构建个体化治疗窗预测</w:t>
            </w:r>
            <w:r>
              <w:rPr>
                <w:rFonts w:hint="eastAsia" w:ascii="仿宋_GB2312" w:hAnsi="仿宋_GB2312" w:eastAsia="仿宋_GB2312" w:cs="仿宋_GB2312"/>
                <w:b w:val="0"/>
                <w:sz w:val="24"/>
                <w:szCs w:val="24"/>
                <w:u w:val="none"/>
              </w:rPr>
              <w:t>模型</w:t>
            </w:r>
            <w:r>
              <w:rPr>
                <w:rFonts w:ascii="仿宋_GB2312" w:hAnsi="仿宋_GB2312" w:eastAsia="仿宋_GB2312" w:cs="仿宋_GB2312"/>
                <w:b w:val="0"/>
                <w:sz w:val="24"/>
                <w:szCs w:val="24"/>
                <w:u w:val="none"/>
              </w:rPr>
              <w:t>、最优</w:t>
            </w:r>
            <w:r>
              <w:rPr>
                <w:rFonts w:hint="eastAsia" w:ascii="仿宋_GB2312" w:hAnsi="仿宋_GB2312" w:eastAsia="仿宋_GB2312" w:cs="仿宋_GB2312"/>
                <w:b w:val="0"/>
                <w:sz w:val="24"/>
                <w:szCs w:val="24"/>
                <w:u w:val="none"/>
              </w:rPr>
              <w:t>候选</w:t>
            </w:r>
            <w:r>
              <w:rPr>
                <w:rFonts w:ascii="仿宋_GB2312" w:hAnsi="仿宋_GB2312" w:eastAsia="仿宋_GB2312" w:cs="仿宋_GB2312"/>
                <w:b w:val="0"/>
                <w:sz w:val="24"/>
                <w:szCs w:val="24"/>
                <w:u w:val="none"/>
              </w:rPr>
              <w:t>触点排序及刺激幅度、频率、脉宽参数推荐方法。</w:t>
            </w:r>
          </w:p>
          <w:p w14:paraId="27A8603A">
            <w:pPr>
              <w:pStyle w:val="17"/>
              <w:keepNext w:val="0"/>
              <w:keepLines w:val="0"/>
              <w:pageBreakBefore w:val="0"/>
              <w:kinsoku/>
              <w:wordWrap/>
              <w:overflowPunct/>
              <w:topLinePunct w:val="0"/>
              <w:autoSpaceDE/>
              <w:autoSpaceDN/>
              <w:bidi w:val="0"/>
              <w:adjustRightInd/>
              <w:snapToGrid w:val="0"/>
              <w:spacing w:line="400" w:lineRule="exact"/>
              <w:ind w:firstLine="514" w:firstLineChars="200"/>
              <w:textAlignment w:val="auto"/>
              <w:rPr>
                <w:sz w:val="24"/>
                <w:szCs w:val="24"/>
                <w:u w:val="none"/>
              </w:rPr>
            </w:pPr>
            <w:r>
              <w:rPr>
                <w:rFonts w:hint="eastAsia" w:ascii="仿宋_GB2312" w:hAnsi="仿宋_GB2312" w:eastAsia="仿宋_GB2312" w:cs="仿宋_GB2312"/>
                <w:b w:val="0"/>
                <w:sz w:val="24"/>
                <w:szCs w:val="24"/>
                <w:u w:val="none"/>
                <w:lang w:val="en-US" w:eastAsia="zh-CN"/>
              </w:rPr>
              <w:t>4</w:t>
            </w:r>
            <w:r>
              <w:rPr>
                <w:rFonts w:ascii="仿宋_GB2312" w:hAnsi="仿宋_GB2312" w:eastAsia="仿宋_GB2312" w:cs="仿宋_GB2312"/>
                <w:b w:val="0"/>
                <w:sz w:val="24"/>
                <w:szCs w:val="24"/>
                <w:u w:val="none"/>
              </w:rPr>
              <w:t>.</w:t>
            </w:r>
            <w:r>
              <w:rPr>
                <w:rFonts w:hint="eastAsia" w:ascii="仿宋_GB2312" w:hAnsi="仿宋_GB2312" w:eastAsia="仿宋_GB2312" w:cs="仿宋_GB2312"/>
                <w:b w:val="0"/>
                <w:sz w:val="24"/>
                <w:szCs w:val="24"/>
                <w:u w:val="none"/>
                <w:lang w:val="en-US" w:eastAsia="zh-CN"/>
              </w:rPr>
              <w:t>研制</w:t>
            </w:r>
            <w:r>
              <w:rPr>
                <w:rFonts w:ascii="仿宋_GB2312" w:hAnsi="仿宋_GB2312" w:eastAsia="仿宋_GB2312" w:cs="仿宋_GB2312"/>
                <w:b w:val="0"/>
                <w:sz w:val="24"/>
                <w:szCs w:val="24"/>
                <w:u w:val="none"/>
              </w:rPr>
              <w:t>集成</w:t>
            </w:r>
            <w:r>
              <w:rPr>
                <w:rFonts w:hint="eastAsia" w:ascii="仿宋_GB2312" w:hAnsi="仿宋_GB2312" w:eastAsia="仿宋_GB2312" w:cs="仿宋_GB2312"/>
                <w:b w:val="0"/>
                <w:sz w:val="24"/>
                <w:szCs w:val="24"/>
                <w:u w:val="none"/>
                <w:lang w:val="en-US" w:eastAsia="zh-CN"/>
              </w:rPr>
              <w:t>包括闭环</w:t>
            </w:r>
            <w:r>
              <w:rPr>
                <w:rFonts w:ascii="仿宋_GB2312" w:hAnsi="仿宋_GB2312" w:eastAsia="仿宋_GB2312" w:cs="仿宋_GB2312"/>
                <w:b w:val="0"/>
                <w:sz w:val="24"/>
                <w:szCs w:val="24"/>
                <w:u w:val="none"/>
              </w:rPr>
              <w:t>神经感知、智能</w:t>
            </w:r>
            <w:r>
              <w:rPr>
                <w:rFonts w:hint="eastAsia" w:ascii="仿宋_GB2312" w:hAnsi="仿宋_GB2312" w:eastAsia="仿宋_GB2312" w:cs="仿宋_GB2312"/>
                <w:b w:val="0"/>
                <w:sz w:val="24"/>
                <w:szCs w:val="24"/>
                <w:u w:val="none"/>
                <w:lang w:val="en-US" w:eastAsia="zh-CN"/>
              </w:rPr>
              <w:t>解码</w:t>
            </w:r>
            <w:r>
              <w:rPr>
                <w:rFonts w:ascii="仿宋_GB2312" w:hAnsi="仿宋_GB2312" w:eastAsia="仿宋_GB2312" w:cs="仿宋_GB2312"/>
                <w:b w:val="0"/>
                <w:sz w:val="24"/>
                <w:szCs w:val="24"/>
                <w:u w:val="none"/>
              </w:rPr>
              <w:t>分析、触点评价</w:t>
            </w:r>
            <w:r>
              <w:rPr>
                <w:rFonts w:hint="eastAsia" w:ascii="仿宋_GB2312" w:hAnsi="仿宋_GB2312" w:eastAsia="仿宋_GB2312" w:cs="仿宋_GB2312"/>
                <w:b w:val="0"/>
                <w:sz w:val="24"/>
                <w:szCs w:val="24"/>
                <w:u w:val="none"/>
                <w:lang w:eastAsia="zh-CN"/>
              </w:rPr>
              <w:t>的</w:t>
            </w:r>
            <w:r>
              <w:rPr>
                <w:rFonts w:ascii="仿宋_GB2312" w:hAnsi="仿宋_GB2312" w:eastAsia="仿宋_GB2312" w:cs="仿宋_GB2312"/>
                <w:b w:val="0"/>
                <w:sz w:val="24"/>
                <w:szCs w:val="24"/>
                <w:u w:val="none"/>
              </w:rPr>
              <w:t>程控平台，开展辅助程控</w:t>
            </w:r>
            <w:r>
              <w:rPr>
                <w:rFonts w:hint="eastAsia" w:ascii="仿宋_GB2312" w:hAnsi="仿宋_GB2312" w:eastAsia="仿宋_GB2312" w:cs="仿宋_GB2312"/>
                <w:b w:val="0"/>
                <w:sz w:val="24"/>
                <w:szCs w:val="24"/>
                <w:u w:val="none"/>
                <w:lang w:val="en-US" w:eastAsia="zh-CN"/>
              </w:rPr>
              <w:t>及临床评价</w:t>
            </w:r>
            <w:r>
              <w:rPr>
                <w:rFonts w:ascii="仿宋_GB2312" w:hAnsi="仿宋_GB2312" w:eastAsia="仿宋_GB2312" w:cs="仿宋_GB2312"/>
                <w:b w:val="0"/>
                <w:sz w:val="24"/>
                <w:szCs w:val="24"/>
                <w:u w:val="none"/>
              </w:rPr>
              <w:t>。</w:t>
            </w:r>
          </w:p>
          <w:p w14:paraId="042CAF35">
            <w:pPr>
              <w:pStyle w:val="17"/>
              <w:keepNext w:val="0"/>
              <w:keepLines w:val="0"/>
              <w:pageBreakBefore w:val="0"/>
              <w:kinsoku/>
              <w:wordWrap/>
              <w:overflowPunct/>
              <w:topLinePunct w:val="0"/>
              <w:autoSpaceDE/>
              <w:autoSpaceDN/>
              <w:bidi w:val="0"/>
              <w:adjustRightInd/>
              <w:snapToGrid w:val="0"/>
              <w:spacing w:line="400" w:lineRule="exact"/>
              <w:ind w:firstLine="514" w:firstLineChars="200"/>
              <w:textAlignment w:val="auto"/>
              <w:rPr>
                <w:sz w:val="24"/>
                <w:szCs w:val="24"/>
                <w:u w:val="none"/>
              </w:rPr>
            </w:pPr>
            <w:r>
              <w:rPr>
                <w:rFonts w:ascii="仿宋_GB2312" w:hAnsi="仿宋_GB2312" w:eastAsia="仿宋_GB2312" w:cs="仿宋_GB2312"/>
                <w:b/>
                <w:sz w:val="24"/>
                <w:szCs w:val="24"/>
                <w:u w:val="none"/>
              </w:rPr>
              <w:t>二、预期指标</w:t>
            </w:r>
          </w:p>
          <w:p w14:paraId="319A2BC0">
            <w:pPr>
              <w:pStyle w:val="17"/>
              <w:keepNext w:val="0"/>
              <w:keepLines w:val="0"/>
              <w:pageBreakBefore w:val="0"/>
              <w:kinsoku/>
              <w:wordWrap/>
              <w:overflowPunct/>
              <w:topLinePunct w:val="0"/>
              <w:autoSpaceDE/>
              <w:autoSpaceDN/>
              <w:bidi w:val="0"/>
              <w:adjustRightInd/>
              <w:snapToGrid w:val="0"/>
              <w:spacing w:line="400" w:lineRule="exact"/>
              <w:ind w:firstLine="514" w:firstLineChars="200"/>
              <w:textAlignment w:val="auto"/>
              <w:rPr>
                <w:rFonts w:ascii="仿宋_GB2312" w:hAnsi="仿宋_GB2312" w:eastAsia="仿宋_GB2312" w:cs="仿宋_GB2312"/>
                <w:sz w:val="24"/>
                <w:szCs w:val="24"/>
                <w:u w:val="none"/>
              </w:rPr>
            </w:pPr>
            <w:r>
              <w:rPr>
                <w:rFonts w:ascii="仿宋_GB2312" w:hAnsi="仿宋_GB2312" w:eastAsia="仿宋_GB2312" w:cs="仿宋_GB2312"/>
                <w:b w:val="0"/>
                <w:sz w:val="24"/>
                <w:szCs w:val="24"/>
                <w:u w:val="none"/>
              </w:rPr>
              <w:t>1.电极</w:t>
            </w:r>
            <w:r>
              <w:rPr>
                <w:rFonts w:hint="eastAsia" w:ascii="仿宋_GB2312" w:hAnsi="仿宋_GB2312" w:eastAsia="仿宋_GB2312" w:cs="仿宋_GB2312"/>
                <w:b w:val="0"/>
                <w:sz w:val="24"/>
                <w:szCs w:val="24"/>
                <w:u w:val="none"/>
                <w:lang w:val="en-US" w:eastAsia="zh-CN"/>
              </w:rPr>
              <w:t>制备</w:t>
            </w:r>
            <w:r>
              <w:rPr>
                <w:rFonts w:ascii="仿宋_GB2312" w:hAnsi="仿宋_GB2312" w:eastAsia="仿宋_GB2312" w:cs="仿宋_GB2312"/>
                <w:b w:val="0"/>
                <w:sz w:val="24"/>
                <w:szCs w:val="24"/>
                <w:u w:val="none"/>
              </w:rPr>
              <w:t>与</w:t>
            </w:r>
            <w:r>
              <w:rPr>
                <w:rFonts w:hint="eastAsia" w:ascii="仿宋_GB2312" w:hAnsi="仿宋_GB2312" w:eastAsia="仿宋_GB2312" w:cs="仿宋_GB2312"/>
                <w:b w:val="0"/>
                <w:sz w:val="24"/>
                <w:szCs w:val="24"/>
                <w:u w:val="none"/>
                <w:lang w:val="en-US" w:eastAsia="zh-CN"/>
              </w:rPr>
              <w:t>信号</w:t>
            </w:r>
            <w:r>
              <w:rPr>
                <w:rFonts w:ascii="仿宋_GB2312" w:hAnsi="仿宋_GB2312" w:eastAsia="仿宋_GB2312" w:cs="仿宋_GB2312"/>
                <w:b w:val="0"/>
                <w:sz w:val="24"/>
                <w:szCs w:val="24"/>
                <w:u w:val="none"/>
              </w:rPr>
              <w:t>采集</w:t>
            </w:r>
          </w:p>
          <w:p w14:paraId="0B1B3041">
            <w:pPr>
              <w:pStyle w:val="17"/>
              <w:keepNext w:val="0"/>
              <w:keepLines w:val="0"/>
              <w:pageBreakBefore w:val="0"/>
              <w:kinsoku/>
              <w:wordWrap/>
              <w:overflowPunct/>
              <w:topLinePunct w:val="0"/>
              <w:autoSpaceDE/>
              <w:autoSpaceDN/>
              <w:bidi w:val="0"/>
              <w:adjustRightInd/>
              <w:snapToGrid w:val="0"/>
              <w:spacing w:line="400" w:lineRule="exact"/>
              <w:ind w:firstLine="514" w:firstLineChars="200"/>
              <w:textAlignment w:val="auto"/>
              <w:rPr>
                <w:rFonts w:ascii="仿宋_GB2312" w:hAnsi="仿宋_GB2312" w:eastAsia="仿宋_GB2312" w:cs="仿宋_GB2312"/>
                <w:sz w:val="24"/>
                <w:szCs w:val="24"/>
                <w:u w:val="none"/>
              </w:rPr>
            </w:pPr>
            <w:r>
              <w:rPr>
                <w:rFonts w:ascii="仿宋_GB2312" w:hAnsi="仿宋_GB2312" w:eastAsia="仿宋_GB2312" w:cs="仿宋_GB2312"/>
                <w:b w:val="0"/>
                <w:sz w:val="24"/>
                <w:szCs w:val="24"/>
                <w:u w:val="none"/>
              </w:rPr>
              <w:t>（1）</w:t>
            </w:r>
            <w:r>
              <w:rPr>
                <w:rFonts w:ascii="仿宋_GB2312" w:hAnsi="仿宋_GB2312" w:eastAsia="仿宋_GB2312" w:cs="仿宋_GB2312"/>
                <w:b w:val="0"/>
                <w:sz w:val="24"/>
                <w:szCs w:val="24"/>
                <w:u w:val="none"/>
                <w:lang w:val="en-US" w:eastAsia="zh-CN"/>
              </w:rPr>
              <w:t>完成柔软高分辨纤维电极设计与</w:t>
            </w:r>
            <w:r>
              <w:rPr>
                <w:rFonts w:hint="eastAsia" w:ascii="仿宋_GB2312" w:hAnsi="仿宋_GB2312" w:eastAsia="仿宋_GB2312" w:cs="仿宋_GB2312"/>
                <w:b w:val="0"/>
                <w:sz w:val="24"/>
                <w:szCs w:val="24"/>
                <w:u w:val="none"/>
                <w:lang w:val="en-US" w:eastAsia="zh-CN"/>
              </w:rPr>
              <w:t>制备。电极直径</w:t>
            </w:r>
            <w:r>
              <w:rPr>
                <w:rFonts w:hint="default" w:ascii="仿宋_GB2312" w:hAnsi="仿宋_GB2312" w:eastAsia="仿宋_GB2312" w:cs="仿宋_GB2312"/>
                <w:b w:val="0"/>
                <w:sz w:val="24"/>
                <w:szCs w:val="24"/>
                <w:u w:val="none"/>
                <w:lang w:val="en-US" w:eastAsia="zh-CN"/>
              </w:rPr>
              <w:t>≤200μm</w:t>
            </w:r>
            <w:r>
              <w:rPr>
                <w:rFonts w:hint="eastAsia" w:ascii="仿宋_GB2312" w:hAnsi="仿宋_GB2312" w:eastAsia="仿宋_GB2312" w:cs="仿宋_GB2312"/>
                <w:b w:val="0"/>
                <w:sz w:val="24"/>
                <w:szCs w:val="24"/>
                <w:u w:val="none"/>
                <w:lang w:val="en-US" w:eastAsia="zh-CN"/>
              </w:rPr>
              <w:t>，杨氏模量</w:t>
            </w:r>
            <w:r>
              <w:rPr>
                <w:rFonts w:hint="default" w:ascii="仿宋_GB2312" w:hAnsi="仿宋_GB2312" w:eastAsia="仿宋_GB2312" w:cs="仿宋_GB2312"/>
                <w:b w:val="0"/>
                <w:sz w:val="24"/>
                <w:szCs w:val="24"/>
                <w:u w:val="none"/>
                <w:lang w:val="en-US" w:eastAsia="zh-CN"/>
              </w:rPr>
              <w:t>≤1MPa</w:t>
            </w:r>
            <w:r>
              <w:rPr>
                <w:rFonts w:hint="eastAsia" w:ascii="仿宋_GB2312" w:hAnsi="仿宋_GB2312" w:eastAsia="仿宋_GB2312" w:cs="仿宋_GB2312"/>
                <w:b w:val="0"/>
                <w:sz w:val="24"/>
                <w:szCs w:val="24"/>
                <w:u w:val="none"/>
                <w:lang w:val="en-US" w:eastAsia="zh-CN"/>
              </w:rPr>
              <w:t>，通道数</w:t>
            </w:r>
            <w:r>
              <w:rPr>
                <w:rFonts w:hint="default" w:ascii="仿宋_GB2312" w:hAnsi="仿宋_GB2312" w:eastAsia="仿宋_GB2312" w:cs="仿宋_GB2312"/>
                <w:b w:val="0"/>
                <w:sz w:val="24"/>
                <w:szCs w:val="24"/>
                <w:u w:val="none"/>
                <w:lang w:val="en-US" w:eastAsia="zh-CN"/>
              </w:rPr>
              <w:t>≥60</w:t>
            </w:r>
            <w:r>
              <w:rPr>
                <w:rFonts w:hint="eastAsia" w:ascii="仿宋_GB2312" w:hAnsi="仿宋_GB2312" w:eastAsia="仿宋_GB2312" w:cs="仿宋_GB2312"/>
                <w:b w:val="0"/>
                <w:sz w:val="24"/>
                <w:szCs w:val="24"/>
                <w:u w:val="none"/>
                <w:lang w:val="en-US" w:eastAsia="zh-CN"/>
              </w:rPr>
              <w:t>通道，电极位点尺寸</w:t>
            </w:r>
            <w:r>
              <w:rPr>
                <w:rFonts w:hint="default" w:ascii="仿宋_GB2312" w:hAnsi="仿宋_GB2312" w:eastAsia="仿宋_GB2312" w:cs="仿宋_GB2312"/>
                <w:b w:val="0"/>
                <w:sz w:val="24"/>
                <w:szCs w:val="24"/>
                <w:u w:val="none"/>
                <w:lang w:val="en-US" w:eastAsia="zh-CN"/>
              </w:rPr>
              <w:t>≤100μm</w:t>
            </w:r>
            <w:r>
              <w:rPr>
                <w:rFonts w:hint="default" w:ascii="仿宋_GB2312" w:hAnsi="仿宋_GB2312" w:eastAsia="仿宋_GB2312" w:cs="仿宋_GB2312"/>
                <w:b w:val="0"/>
                <w:sz w:val="24"/>
                <w:szCs w:val="24"/>
                <w:u w:val="none"/>
                <w:lang w:val="en-US" w:eastAsia="zh-CN"/>
              </w:rPr>
              <w:sym w:font="Symbol" w:char="00B4"/>
            </w:r>
            <w:r>
              <w:rPr>
                <w:rFonts w:hint="default" w:ascii="仿宋_GB2312" w:hAnsi="仿宋_GB2312" w:eastAsia="仿宋_GB2312" w:cs="仿宋_GB2312"/>
                <w:b w:val="0"/>
                <w:sz w:val="24"/>
                <w:szCs w:val="24"/>
                <w:u w:val="none"/>
                <w:lang w:val="en-US" w:eastAsia="zh-CN"/>
              </w:rPr>
              <w:t>100μm</w:t>
            </w:r>
            <w:r>
              <w:rPr>
                <w:rFonts w:hint="eastAsia" w:ascii="仿宋_GB2312" w:hAnsi="仿宋_GB2312" w:eastAsia="仿宋_GB2312" w:cs="仿宋_GB2312"/>
                <w:b w:val="0"/>
                <w:sz w:val="24"/>
                <w:szCs w:val="24"/>
                <w:u w:val="none"/>
                <w:lang w:val="en-US" w:eastAsia="zh-CN"/>
              </w:rPr>
              <w:t>，电极位点间隔</w:t>
            </w:r>
            <w:r>
              <w:rPr>
                <w:rFonts w:hint="default" w:ascii="仿宋_GB2312" w:hAnsi="仿宋_GB2312" w:eastAsia="仿宋_GB2312" w:cs="仿宋_GB2312"/>
                <w:b w:val="0"/>
                <w:sz w:val="24"/>
                <w:szCs w:val="24"/>
                <w:u w:val="none"/>
                <w:lang w:val="en-US" w:eastAsia="zh-CN"/>
              </w:rPr>
              <w:t>≤200μm</w:t>
            </w:r>
            <w:r>
              <w:rPr>
                <w:rFonts w:hint="eastAsia" w:ascii="仿宋_GB2312" w:hAnsi="仿宋_GB2312" w:eastAsia="仿宋_GB2312" w:cs="仿宋_GB2312"/>
                <w:b w:val="0"/>
                <w:sz w:val="24"/>
                <w:szCs w:val="24"/>
                <w:u w:val="none"/>
                <w:lang w:val="en-US" w:eastAsia="zh-CN"/>
              </w:rPr>
              <w:t>。</w:t>
            </w:r>
          </w:p>
          <w:p w14:paraId="0A922595">
            <w:pPr>
              <w:pStyle w:val="17"/>
              <w:keepNext w:val="0"/>
              <w:keepLines w:val="0"/>
              <w:pageBreakBefore w:val="0"/>
              <w:kinsoku/>
              <w:wordWrap/>
              <w:overflowPunct/>
              <w:topLinePunct w:val="0"/>
              <w:autoSpaceDE/>
              <w:autoSpaceDN/>
              <w:bidi w:val="0"/>
              <w:adjustRightInd/>
              <w:snapToGrid w:val="0"/>
              <w:spacing w:line="400" w:lineRule="exact"/>
              <w:ind w:firstLine="514" w:firstLineChars="200"/>
              <w:textAlignment w:val="auto"/>
              <w:rPr>
                <w:rFonts w:ascii="仿宋_GB2312" w:hAnsi="仿宋_GB2312" w:eastAsia="仿宋_GB2312" w:cs="仿宋_GB2312"/>
                <w:sz w:val="24"/>
                <w:szCs w:val="24"/>
                <w:u w:val="none"/>
              </w:rPr>
            </w:pPr>
            <w:r>
              <w:rPr>
                <w:rFonts w:ascii="仿宋_GB2312" w:hAnsi="仿宋_GB2312" w:eastAsia="仿宋_GB2312" w:cs="仿宋_GB2312"/>
                <w:b w:val="0"/>
                <w:sz w:val="24"/>
                <w:szCs w:val="24"/>
                <w:u w:val="none"/>
              </w:rPr>
              <w:t>（2）</w:t>
            </w:r>
            <w:r>
              <w:rPr>
                <w:rFonts w:hint="eastAsia" w:ascii="仿宋_GB2312" w:hAnsi="仿宋_GB2312" w:eastAsia="仿宋_GB2312" w:cs="仿宋_GB2312"/>
                <w:b w:val="0"/>
                <w:sz w:val="24"/>
                <w:szCs w:val="24"/>
                <w:u w:val="none"/>
                <w:lang w:val="en-US" w:eastAsia="zh-CN"/>
              </w:rPr>
              <w:t>完成后端传输模块设计与软硬接口构筑，实现LFP信号的稳定传输，传输速率</w:t>
            </w:r>
            <w:r>
              <w:rPr>
                <w:rFonts w:hint="default" w:ascii="仿宋_GB2312" w:hAnsi="仿宋_GB2312" w:eastAsia="仿宋_GB2312" w:cs="仿宋_GB2312"/>
                <w:b w:val="0"/>
                <w:sz w:val="24"/>
                <w:szCs w:val="24"/>
                <w:u w:val="none"/>
                <w:lang w:val="en-US" w:eastAsia="zh-CN"/>
              </w:rPr>
              <w:t>≥2Mbps</w:t>
            </w:r>
            <w:r>
              <w:rPr>
                <w:rFonts w:hint="eastAsia" w:ascii="仿宋_GB2312" w:hAnsi="仿宋_GB2312" w:eastAsia="仿宋_GB2312" w:cs="仿宋_GB2312"/>
                <w:b w:val="0"/>
                <w:sz w:val="24"/>
                <w:szCs w:val="24"/>
                <w:u w:val="none"/>
                <w:lang w:val="en-US" w:eastAsia="zh-CN"/>
              </w:rPr>
              <w:t xml:space="preserve">。 </w:t>
            </w:r>
          </w:p>
          <w:p w14:paraId="2F84D27F">
            <w:pPr>
              <w:pStyle w:val="17"/>
              <w:keepNext w:val="0"/>
              <w:keepLines w:val="0"/>
              <w:pageBreakBefore w:val="0"/>
              <w:kinsoku/>
              <w:wordWrap/>
              <w:overflowPunct/>
              <w:topLinePunct w:val="0"/>
              <w:autoSpaceDE/>
              <w:autoSpaceDN/>
              <w:bidi w:val="0"/>
              <w:adjustRightInd/>
              <w:snapToGrid w:val="0"/>
              <w:spacing w:line="400" w:lineRule="exact"/>
              <w:ind w:firstLine="514" w:firstLineChars="200"/>
              <w:textAlignment w:val="auto"/>
              <w:rPr>
                <w:rFonts w:hint="eastAsia" w:ascii="仿宋_GB2312" w:hAnsi="仿宋_GB2312" w:eastAsia="仿宋_GB2312" w:cs="仿宋_GB2312"/>
                <w:sz w:val="24"/>
                <w:szCs w:val="24"/>
                <w:u w:val="none"/>
              </w:rPr>
            </w:pPr>
            <w:r>
              <w:rPr>
                <w:rFonts w:ascii="仿宋_GB2312" w:hAnsi="仿宋_GB2312" w:eastAsia="仿宋_GB2312" w:cs="仿宋_GB2312"/>
                <w:b w:val="0"/>
                <w:sz w:val="24"/>
                <w:szCs w:val="24"/>
                <w:u w:val="none"/>
              </w:rPr>
              <w:t>（</w:t>
            </w:r>
            <w:r>
              <w:rPr>
                <w:rFonts w:hint="eastAsia" w:ascii="仿宋_GB2312" w:hAnsi="仿宋_GB2312" w:eastAsia="仿宋_GB2312" w:cs="仿宋_GB2312"/>
                <w:b w:val="0"/>
                <w:sz w:val="24"/>
                <w:szCs w:val="24"/>
                <w:u w:val="none"/>
                <w:lang w:val="en-US" w:eastAsia="zh-CN"/>
              </w:rPr>
              <w:t>3</w:t>
            </w:r>
            <w:r>
              <w:rPr>
                <w:rFonts w:ascii="仿宋_GB2312" w:hAnsi="仿宋_GB2312" w:eastAsia="仿宋_GB2312" w:cs="仿宋_GB2312"/>
                <w:b w:val="0"/>
                <w:sz w:val="24"/>
                <w:szCs w:val="24"/>
                <w:u w:val="none"/>
              </w:rPr>
              <w:t>）</w:t>
            </w:r>
            <w:r>
              <w:rPr>
                <w:rFonts w:hint="eastAsia" w:ascii="仿宋_GB2312" w:hAnsi="仿宋_GB2312" w:eastAsia="仿宋_GB2312" w:cs="仿宋_GB2312"/>
                <w:b w:val="0"/>
                <w:sz w:val="24"/>
                <w:szCs w:val="24"/>
                <w:u w:val="none"/>
                <w:lang w:val="en-US" w:eastAsia="zh-CN"/>
              </w:rPr>
              <w:t>在PD大动物模型上实现跨脑区LFP长期稳定监测，模型动物数量</w:t>
            </w:r>
            <w:r>
              <w:rPr>
                <w:rFonts w:hint="default" w:ascii="仿宋_GB2312" w:hAnsi="仿宋_GB2312" w:eastAsia="仿宋_GB2312" w:cs="仿宋_GB2312"/>
                <w:b w:val="0"/>
                <w:sz w:val="24"/>
                <w:szCs w:val="24"/>
                <w:u w:val="none"/>
                <w:lang w:val="en-US" w:eastAsia="zh-CN"/>
              </w:rPr>
              <w:t>≥</w:t>
            </w:r>
            <w:r>
              <w:rPr>
                <w:rFonts w:hint="eastAsia" w:ascii="仿宋_GB2312" w:hAnsi="仿宋_GB2312" w:eastAsia="仿宋_GB2312" w:cs="仿宋_GB2312"/>
                <w:b w:val="0"/>
                <w:sz w:val="24"/>
                <w:szCs w:val="24"/>
                <w:u w:val="none"/>
                <w:lang w:val="en-US" w:eastAsia="zh-CN"/>
              </w:rPr>
              <w:t>3个，监测时长</w:t>
            </w:r>
            <w:r>
              <w:rPr>
                <w:rFonts w:hint="default" w:ascii="仿宋_GB2312" w:hAnsi="仿宋_GB2312" w:eastAsia="仿宋_GB2312" w:cs="仿宋_GB2312"/>
                <w:b w:val="0"/>
                <w:sz w:val="24"/>
                <w:szCs w:val="24"/>
                <w:u w:val="none"/>
                <w:lang w:val="en-US" w:eastAsia="zh-CN"/>
              </w:rPr>
              <w:t>≥1</w:t>
            </w:r>
            <w:r>
              <w:rPr>
                <w:rFonts w:hint="eastAsia" w:ascii="仿宋_GB2312" w:hAnsi="仿宋_GB2312" w:eastAsia="仿宋_GB2312" w:cs="仿宋_GB2312"/>
                <w:b w:val="0"/>
                <w:sz w:val="24"/>
                <w:szCs w:val="24"/>
                <w:u w:val="none"/>
                <w:lang w:val="en-US" w:eastAsia="zh-CN"/>
              </w:rPr>
              <w:t>年，并获得异常神经网络模式及闭环干预方案的实验依据。</w:t>
            </w:r>
          </w:p>
          <w:p w14:paraId="42B341F1">
            <w:pPr>
              <w:pStyle w:val="17"/>
              <w:keepNext w:val="0"/>
              <w:keepLines w:val="0"/>
              <w:pageBreakBefore w:val="0"/>
              <w:kinsoku/>
              <w:wordWrap/>
              <w:overflowPunct/>
              <w:topLinePunct w:val="0"/>
              <w:autoSpaceDE/>
              <w:autoSpaceDN/>
              <w:bidi w:val="0"/>
              <w:adjustRightInd/>
              <w:snapToGrid w:val="0"/>
              <w:spacing w:line="400" w:lineRule="exact"/>
              <w:ind w:firstLine="514" w:firstLineChars="200"/>
              <w:textAlignment w:val="auto"/>
              <w:rPr>
                <w:sz w:val="24"/>
                <w:szCs w:val="24"/>
                <w:u w:val="none"/>
              </w:rPr>
            </w:pPr>
            <w:r>
              <w:rPr>
                <w:rFonts w:ascii="仿宋_GB2312" w:hAnsi="仿宋_GB2312" w:eastAsia="仿宋_GB2312" w:cs="仿宋_GB2312"/>
                <w:b w:val="0"/>
                <w:sz w:val="24"/>
                <w:szCs w:val="24"/>
                <w:u w:val="none"/>
              </w:rPr>
              <w:t>2.智能解码与辅助程控系统</w:t>
            </w:r>
          </w:p>
          <w:p w14:paraId="3E8E35A0">
            <w:pPr>
              <w:pStyle w:val="17"/>
              <w:keepNext w:val="0"/>
              <w:keepLines w:val="0"/>
              <w:pageBreakBefore w:val="0"/>
              <w:kinsoku/>
              <w:wordWrap/>
              <w:overflowPunct/>
              <w:topLinePunct w:val="0"/>
              <w:autoSpaceDE/>
              <w:autoSpaceDN/>
              <w:bidi w:val="0"/>
              <w:adjustRightInd/>
              <w:snapToGrid w:val="0"/>
              <w:spacing w:line="400" w:lineRule="exact"/>
              <w:ind w:firstLine="514" w:firstLineChars="200"/>
              <w:textAlignment w:val="auto"/>
              <w:rPr>
                <w:sz w:val="24"/>
                <w:szCs w:val="24"/>
                <w:u w:val="none"/>
              </w:rPr>
            </w:pPr>
            <w:r>
              <w:rPr>
                <w:rFonts w:ascii="仿宋_GB2312" w:hAnsi="仿宋_GB2312" w:eastAsia="仿宋_GB2312" w:cs="仿宋_GB2312"/>
                <w:b w:val="0"/>
                <w:sz w:val="24"/>
                <w:szCs w:val="24"/>
                <w:u w:val="none"/>
              </w:rPr>
              <w:t>（1）</w:t>
            </w:r>
            <w:r>
              <w:rPr>
                <w:rFonts w:hint="eastAsia" w:ascii="仿宋_GB2312" w:hAnsi="仿宋_GB2312" w:eastAsia="仿宋_GB2312" w:cs="仿宋_GB2312"/>
                <w:b w:val="0"/>
                <w:sz w:val="24"/>
                <w:szCs w:val="24"/>
                <w:u w:val="none"/>
              </w:rPr>
              <w:t>实现</w:t>
            </w:r>
            <w:r>
              <w:rPr>
                <w:rFonts w:hint="eastAsia" w:ascii="仿宋_GB2312" w:hAnsi="仿宋_GB2312" w:eastAsia="仿宋_GB2312" w:cs="仿宋_GB2312"/>
                <w:b w:val="0"/>
                <w:sz w:val="24"/>
                <w:szCs w:val="24"/>
                <w:u w:val="none"/>
                <w:lang w:val="en-US" w:eastAsia="zh-CN"/>
              </w:rPr>
              <w:t>PD</w:t>
            </w:r>
            <w:r>
              <w:rPr>
                <w:rFonts w:hint="eastAsia" w:ascii="仿宋_GB2312" w:hAnsi="仿宋_GB2312" w:eastAsia="仿宋_GB2312" w:cs="仿宋_GB2312"/>
                <w:b w:val="0"/>
                <w:sz w:val="24"/>
                <w:szCs w:val="24"/>
                <w:u w:val="none"/>
              </w:rPr>
              <w:t>核心</w:t>
            </w:r>
            <w:r>
              <w:rPr>
                <w:rFonts w:hint="eastAsia" w:ascii="仿宋_GB2312" w:hAnsi="仿宋_GB2312" w:eastAsia="仿宋_GB2312" w:cs="仿宋_GB2312"/>
                <w:b w:val="0"/>
                <w:sz w:val="24"/>
                <w:szCs w:val="24"/>
                <w:u w:val="none"/>
                <w:lang w:val="en-US" w:eastAsia="zh-CN"/>
              </w:rPr>
              <w:t>特征</w:t>
            </w:r>
            <w:r>
              <w:rPr>
                <w:rFonts w:hint="eastAsia" w:ascii="仿宋_GB2312" w:hAnsi="仿宋_GB2312" w:eastAsia="仿宋_GB2312" w:cs="仿宋_GB2312"/>
                <w:b w:val="0"/>
                <w:sz w:val="24"/>
                <w:szCs w:val="24"/>
                <w:u w:val="none"/>
              </w:rPr>
              <w:t>参数的</w:t>
            </w:r>
            <w:r>
              <w:rPr>
                <w:rFonts w:hint="eastAsia" w:ascii="仿宋_GB2312" w:hAnsi="仿宋_GB2312" w:eastAsia="仿宋_GB2312" w:cs="仿宋_GB2312"/>
                <w:b w:val="0"/>
                <w:sz w:val="24"/>
                <w:szCs w:val="24"/>
                <w:u w:val="none"/>
                <w:lang w:val="en-US" w:eastAsia="zh-CN"/>
              </w:rPr>
              <w:t>稳定</w:t>
            </w:r>
            <w:r>
              <w:rPr>
                <w:rFonts w:hint="eastAsia" w:ascii="仿宋_GB2312" w:hAnsi="仿宋_GB2312" w:eastAsia="仿宋_GB2312" w:cs="仿宋_GB2312"/>
                <w:b w:val="0"/>
                <w:sz w:val="24"/>
                <w:szCs w:val="24"/>
                <w:u w:val="none"/>
              </w:rPr>
              <w:t>采集，</w:t>
            </w:r>
            <w:r>
              <w:rPr>
                <w:rFonts w:hint="eastAsia" w:ascii="仿宋_GB2312" w:hAnsi="仿宋_GB2312" w:eastAsia="仿宋_GB2312" w:cs="仿宋_GB2312"/>
                <w:b w:val="0"/>
                <w:sz w:val="24"/>
                <w:szCs w:val="24"/>
                <w:u w:val="none"/>
                <w:lang w:val="en-US" w:eastAsia="zh-CN"/>
              </w:rPr>
              <w:t>用户画像</w:t>
            </w:r>
            <w:r>
              <w:rPr>
                <w:rFonts w:hint="eastAsia" w:ascii="仿宋_GB2312" w:hAnsi="仿宋_GB2312" w:eastAsia="仿宋_GB2312" w:cs="仿宋_GB2312"/>
                <w:b w:val="0"/>
                <w:sz w:val="24"/>
                <w:szCs w:val="24"/>
                <w:u w:val="none"/>
              </w:rPr>
              <w:t>参数</w:t>
            </w:r>
            <w:r>
              <w:rPr>
                <w:rFonts w:ascii="仿宋_GB2312" w:hAnsi="仿宋_GB2312" w:eastAsia="仿宋_GB2312" w:cs="仿宋_GB2312"/>
                <w:b w:val="0"/>
                <w:sz w:val="24"/>
                <w:szCs w:val="24"/>
                <w:u w:val="none"/>
              </w:rPr>
              <w:t>≥</w:t>
            </w:r>
            <w:r>
              <w:rPr>
                <w:rFonts w:hint="eastAsia" w:ascii="仿宋_GB2312" w:hAnsi="仿宋_GB2312" w:eastAsia="仿宋_GB2312" w:cs="仿宋_GB2312"/>
                <w:b w:val="0"/>
                <w:sz w:val="24"/>
                <w:szCs w:val="24"/>
                <w:u w:val="none"/>
              </w:rPr>
              <w:t>1</w:t>
            </w:r>
            <w:r>
              <w:rPr>
                <w:rFonts w:ascii="仿宋_GB2312" w:hAnsi="仿宋_GB2312" w:eastAsia="仿宋_GB2312" w:cs="仿宋_GB2312"/>
                <w:b w:val="0"/>
                <w:sz w:val="24"/>
                <w:szCs w:val="24"/>
                <w:u w:val="none"/>
              </w:rPr>
              <w:t>50项。提供可自定义</w:t>
            </w:r>
            <w:r>
              <w:rPr>
                <w:rFonts w:hint="eastAsia" w:ascii="仿宋_GB2312" w:hAnsi="仿宋_GB2312" w:eastAsia="仿宋_GB2312" w:cs="仿宋_GB2312"/>
                <w:b w:val="0"/>
                <w:sz w:val="24"/>
                <w:szCs w:val="24"/>
                <w:u w:val="none"/>
                <w:lang w:val="en-US" w:eastAsia="zh-CN"/>
              </w:rPr>
              <w:t>不同</w:t>
            </w:r>
            <w:r>
              <w:rPr>
                <w:rFonts w:ascii="仿宋_GB2312" w:hAnsi="仿宋_GB2312" w:eastAsia="仿宋_GB2312" w:cs="仿宋_GB2312"/>
                <w:b w:val="0"/>
                <w:sz w:val="24"/>
                <w:szCs w:val="24"/>
                <w:u w:val="none"/>
              </w:rPr>
              <w:t>体征人群画像生成</w:t>
            </w:r>
            <w:r>
              <w:rPr>
                <w:rFonts w:hint="eastAsia" w:ascii="仿宋_GB2312" w:hAnsi="仿宋_GB2312" w:eastAsia="仿宋_GB2312" w:cs="仿宋_GB2312"/>
                <w:b w:val="0"/>
                <w:sz w:val="24"/>
                <w:szCs w:val="24"/>
                <w:u w:val="none"/>
                <w:lang w:val="en-US" w:eastAsia="zh-CN"/>
              </w:rPr>
              <w:t>能力，以及</w:t>
            </w:r>
            <w:r>
              <w:rPr>
                <w:rFonts w:ascii="仿宋_GB2312" w:hAnsi="仿宋_GB2312" w:eastAsia="仿宋_GB2312" w:cs="仿宋_GB2312"/>
                <w:b w:val="0"/>
                <w:sz w:val="24"/>
                <w:szCs w:val="24"/>
                <w:u w:val="none"/>
              </w:rPr>
              <w:t>健康</w:t>
            </w:r>
            <w:r>
              <w:rPr>
                <w:rFonts w:hint="eastAsia" w:ascii="仿宋_GB2312" w:hAnsi="仿宋_GB2312" w:eastAsia="仿宋_GB2312" w:cs="仿宋_GB2312"/>
                <w:b w:val="0"/>
                <w:sz w:val="24"/>
                <w:szCs w:val="24"/>
                <w:u w:val="none"/>
                <w:lang w:val="en-US" w:eastAsia="zh-CN"/>
              </w:rPr>
              <w:t>和PD</w:t>
            </w:r>
            <w:r>
              <w:rPr>
                <w:rFonts w:ascii="仿宋_GB2312" w:hAnsi="仿宋_GB2312" w:eastAsia="仿宋_GB2312" w:cs="仿宋_GB2312"/>
                <w:b w:val="0"/>
                <w:sz w:val="24"/>
                <w:szCs w:val="24"/>
                <w:u w:val="none"/>
              </w:rPr>
              <w:t>人群对比的能力。</w:t>
            </w:r>
          </w:p>
          <w:p w14:paraId="2F1CB033">
            <w:pPr>
              <w:pStyle w:val="17"/>
              <w:keepNext w:val="0"/>
              <w:keepLines w:val="0"/>
              <w:pageBreakBefore w:val="0"/>
              <w:kinsoku/>
              <w:wordWrap/>
              <w:overflowPunct/>
              <w:topLinePunct w:val="0"/>
              <w:autoSpaceDE/>
              <w:autoSpaceDN/>
              <w:bidi w:val="0"/>
              <w:adjustRightInd/>
              <w:snapToGrid w:val="0"/>
              <w:spacing w:line="400" w:lineRule="exact"/>
              <w:ind w:firstLine="514" w:firstLineChars="200"/>
              <w:textAlignment w:val="auto"/>
              <w:rPr>
                <w:sz w:val="24"/>
                <w:szCs w:val="24"/>
                <w:u w:val="none"/>
              </w:rPr>
            </w:pPr>
            <w:r>
              <w:rPr>
                <w:rFonts w:ascii="仿宋_GB2312" w:hAnsi="仿宋_GB2312" w:eastAsia="仿宋_GB2312" w:cs="仿宋_GB2312"/>
                <w:b w:val="0"/>
                <w:sz w:val="24"/>
                <w:szCs w:val="24"/>
                <w:u w:val="none"/>
              </w:rPr>
              <w:t>（2）治疗窗</w:t>
            </w:r>
            <w:r>
              <w:rPr>
                <w:rFonts w:hint="eastAsia" w:ascii="仿宋_GB2312" w:hAnsi="仿宋_GB2312" w:eastAsia="仿宋_GB2312" w:cs="仿宋_GB2312"/>
                <w:b w:val="0"/>
                <w:sz w:val="24"/>
                <w:szCs w:val="24"/>
                <w:u w:val="none"/>
              </w:rPr>
              <w:t>解码相关系数</w:t>
            </w:r>
            <w:r>
              <w:rPr>
                <w:rFonts w:ascii="仿宋_GB2312" w:hAnsi="仿宋_GB2312" w:eastAsia="仿宋_GB2312" w:cs="仿宋_GB2312"/>
                <w:b w:val="0"/>
                <w:sz w:val="24"/>
                <w:szCs w:val="24"/>
                <w:u w:val="none"/>
              </w:rPr>
              <w:t>≥</w:t>
            </w:r>
            <w:r>
              <w:rPr>
                <w:rFonts w:hint="eastAsia" w:ascii="仿宋_GB2312" w:hAnsi="仿宋_GB2312" w:eastAsia="仿宋_GB2312" w:cs="仿宋_GB2312"/>
                <w:b w:val="0"/>
                <w:sz w:val="24"/>
                <w:szCs w:val="24"/>
                <w:u w:val="none"/>
              </w:rPr>
              <w:t>0.</w:t>
            </w:r>
            <w:r>
              <w:rPr>
                <w:rFonts w:hint="eastAsia" w:ascii="仿宋_GB2312" w:hAnsi="仿宋_GB2312" w:eastAsia="仿宋_GB2312" w:cs="仿宋_GB2312"/>
                <w:b w:val="0"/>
                <w:sz w:val="24"/>
                <w:szCs w:val="24"/>
                <w:u w:val="none"/>
                <w:lang w:val="en-US" w:eastAsia="zh-CN"/>
              </w:rPr>
              <w:t>7</w:t>
            </w:r>
            <w:r>
              <w:rPr>
                <w:rFonts w:ascii="仿宋_GB2312" w:hAnsi="仿宋_GB2312" w:eastAsia="仿宋_GB2312" w:cs="仿宋_GB2312"/>
                <w:b w:val="0"/>
                <w:sz w:val="24"/>
                <w:szCs w:val="24"/>
                <w:u w:val="none"/>
              </w:rPr>
              <w:t>，最优触点Top-1命中率≥70%、Top-2命中率≥90%。</w:t>
            </w:r>
          </w:p>
          <w:p w14:paraId="29A3A9AD">
            <w:pPr>
              <w:pStyle w:val="17"/>
              <w:keepNext w:val="0"/>
              <w:keepLines w:val="0"/>
              <w:pageBreakBefore w:val="0"/>
              <w:kinsoku/>
              <w:wordWrap/>
              <w:overflowPunct/>
              <w:topLinePunct w:val="0"/>
              <w:autoSpaceDE/>
              <w:autoSpaceDN/>
              <w:bidi w:val="0"/>
              <w:adjustRightInd/>
              <w:snapToGrid w:val="0"/>
              <w:spacing w:line="400" w:lineRule="exact"/>
              <w:ind w:firstLine="514" w:firstLineChars="200"/>
              <w:textAlignment w:val="auto"/>
              <w:rPr>
                <w:rFonts w:hint="eastAsia" w:ascii="仿宋_GB2312" w:hAnsi="仿宋_GB2312" w:eastAsia="仿宋_GB2312" w:cs="仿宋_GB2312"/>
                <w:sz w:val="24"/>
                <w:szCs w:val="24"/>
                <w:u w:val="none"/>
              </w:rPr>
            </w:pPr>
            <w:r>
              <w:rPr>
                <w:rFonts w:ascii="仿宋_GB2312" w:hAnsi="仿宋_GB2312" w:eastAsia="仿宋_GB2312" w:cs="仿宋_GB2312"/>
                <w:b w:val="0"/>
                <w:sz w:val="24"/>
                <w:szCs w:val="24"/>
                <w:u w:val="none"/>
              </w:rPr>
              <w:t>（3）完成</w:t>
            </w:r>
            <w:r>
              <w:rPr>
                <w:rFonts w:hint="eastAsia" w:ascii="仿宋_GB2312" w:hAnsi="仿宋_GB2312" w:eastAsia="仿宋_GB2312" w:cs="仿宋_GB2312"/>
                <w:b w:val="0"/>
                <w:sz w:val="24"/>
                <w:szCs w:val="24"/>
                <w:u w:val="none"/>
              </w:rPr>
              <w:t>系统</w:t>
            </w:r>
            <w:r>
              <w:rPr>
                <w:rFonts w:ascii="仿宋_GB2312" w:hAnsi="仿宋_GB2312" w:eastAsia="仿宋_GB2312" w:cs="仿宋_GB2312"/>
                <w:b w:val="0"/>
                <w:sz w:val="24"/>
                <w:szCs w:val="24"/>
                <w:u w:val="none"/>
              </w:rPr>
              <w:t>集成，支持个体影像重建与脑内核团、电极触点三维呈现</w:t>
            </w:r>
            <w:r>
              <w:rPr>
                <w:rFonts w:hint="eastAsia" w:ascii="仿宋_GB2312" w:hAnsi="仿宋_GB2312" w:eastAsia="仿宋_GB2312" w:cs="仿宋_GB2312"/>
                <w:b w:val="0"/>
                <w:sz w:val="24"/>
                <w:szCs w:val="24"/>
                <w:u w:val="none"/>
                <w:lang w:eastAsia="zh-CN"/>
              </w:rPr>
              <w:t>。</w:t>
            </w:r>
            <w:r>
              <w:rPr>
                <w:rFonts w:hint="eastAsia" w:ascii="仿宋_GB2312" w:hAnsi="仿宋_GB2312" w:eastAsia="仿宋_GB2312" w:cs="仿宋_GB2312"/>
                <w:b w:val="0"/>
                <w:sz w:val="24"/>
                <w:szCs w:val="24"/>
                <w:u w:val="none"/>
                <w:lang w:val="en-US" w:eastAsia="zh-CN"/>
              </w:rPr>
              <w:t>辅助</w:t>
            </w:r>
            <w:r>
              <w:rPr>
                <w:rFonts w:hint="eastAsia" w:ascii="仿宋_GB2312" w:hAnsi="仿宋_GB2312" w:eastAsia="仿宋_GB2312" w:cs="仿宋_GB2312"/>
                <w:b w:val="0"/>
                <w:sz w:val="24"/>
                <w:szCs w:val="24"/>
                <w:u w:val="none"/>
              </w:rPr>
              <w:t>程控后</w:t>
            </w:r>
            <w:r>
              <w:rPr>
                <w:rFonts w:ascii="仿宋_GB2312" w:hAnsi="仿宋_GB2312" w:eastAsia="仿宋_GB2312" w:cs="仿宋_GB2312"/>
                <w:b w:val="0"/>
                <w:sz w:val="24"/>
                <w:szCs w:val="24"/>
                <w:u w:val="none"/>
              </w:rPr>
              <w:t>甜点重叠率对运动改善的预测效能≥</w:t>
            </w:r>
            <w:r>
              <w:rPr>
                <w:rFonts w:hint="eastAsia" w:ascii="仿宋_GB2312" w:hAnsi="仿宋_GB2312" w:eastAsia="仿宋_GB2312" w:cs="仿宋_GB2312"/>
                <w:b w:val="0"/>
                <w:sz w:val="24"/>
                <w:szCs w:val="24"/>
                <w:u w:val="none"/>
              </w:rPr>
              <w:t>2</w:t>
            </w:r>
            <w:r>
              <w:rPr>
                <w:rFonts w:ascii="仿宋_GB2312" w:hAnsi="仿宋_GB2312" w:eastAsia="仿宋_GB2312" w:cs="仿宋_GB2312"/>
                <w:b w:val="0"/>
                <w:sz w:val="24"/>
                <w:szCs w:val="24"/>
                <w:u w:val="none"/>
              </w:rPr>
              <w:t>0%。</w:t>
            </w:r>
          </w:p>
          <w:p w14:paraId="7F67CFC1">
            <w:pPr>
              <w:pStyle w:val="17"/>
              <w:keepNext w:val="0"/>
              <w:keepLines w:val="0"/>
              <w:pageBreakBefore w:val="0"/>
              <w:kinsoku/>
              <w:wordWrap/>
              <w:overflowPunct/>
              <w:topLinePunct w:val="0"/>
              <w:autoSpaceDE/>
              <w:autoSpaceDN/>
              <w:bidi w:val="0"/>
              <w:adjustRightInd/>
              <w:snapToGrid w:val="0"/>
              <w:spacing w:line="400" w:lineRule="exact"/>
              <w:ind w:firstLine="514" w:firstLineChars="200"/>
              <w:textAlignment w:val="auto"/>
              <w:rPr>
                <w:sz w:val="24"/>
                <w:szCs w:val="24"/>
                <w:u w:val="none"/>
              </w:rPr>
            </w:pPr>
            <w:r>
              <w:rPr>
                <w:rFonts w:ascii="仿宋_GB2312" w:hAnsi="仿宋_GB2312" w:eastAsia="仿宋_GB2312" w:cs="仿宋_GB2312"/>
                <w:b w:val="0"/>
                <w:sz w:val="24"/>
                <w:szCs w:val="24"/>
                <w:u w:val="none"/>
              </w:rPr>
              <w:t>3.科研与产业化产出</w:t>
            </w:r>
          </w:p>
          <w:p w14:paraId="7D83CB29">
            <w:pPr>
              <w:pStyle w:val="17"/>
              <w:keepNext w:val="0"/>
              <w:keepLines w:val="0"/>
              <w:pageBreakBefore w:val="0"/>
              <w:kinsoku/>
              <w:wordWrap/>
              <w:overflowPunct/>
              <w:topLinePunct w:val="0"/>
              <w:autoSpaceDE/>
              <w:autoSpaceDN/>
              <w:bidi w:val="0"/>
              <w:adjustRightInd/>
              <w:snapToGrid w:val="0"/>
              <w:spacing w:line="400" w:lineRule="exact"/>
              <w:ind w:firstLine="514" w:firstLineChars="200"/>
              <w:textAlignment w:val="auto"/>
              <w:rPr>
                <w:sz w:val="24"/>
                <w:szCs w:val="24"/>
                <w:u w:val="none"/>
              </w:rPr>
            </w:pPr>
            <w:r>
              <w:rPr>
                <w:rFonts w:ascii="仿宋_GB2312" w:hAnsi="仿宋_GB2312" w:eastAsia="仿宋_GB2312" w:cs="仿宋_GB2312"/>
                <w:b w:val="0"/>
                <w:sz w:val="24"/>
                <w:szCs w:val="24"/>
                <w:u w:val="none"/>
              </w:rPr>
              <w:t>（1）申请专利≥5件，其中</w:t>
            </w:r>
            <w:r>
              <w:rPr>
                <w:rFonts w:hint="eastAsia" w:ascii="仿宋_GB2312" w:hAnsi="仿宋_GB2312" w:eastAsia="仿宋_GB2312" w:cs="仿宋_GB2312"/>
                <w:b w:val="0"/>
                <w:sz w:val="24"/>
                <w:szCs w:val="24"/>
                <w:u w:val="none"/>
                <w:lang w:val="en-US" w:eastAsia="zh-CN"/>
              </w:rPr>
              <w:t>授权</w:t>
            </w:r>
            <w:r>
              <w:rPr>
                <w:rFonts w:ascii="仿宋_GB2312" w:hAnsi="仿宋_GB2312" w:eastAsia="仿宋_GB2312" w:cs="仿宋_GB2312"/>
                <w:b w:val="0"/>
                <w:sz w:val="24"/>
                <w:szCs w:val="24"/>
                <w:u w:val="none"/>
              </w:rPr>
              <w:t>发明专利≥</w:t>
            </w:r>
            <w:r>
              <w:rPr>
                <w:rFonts w:hint="eastAsia" w:ascii="仿宋_GB2312" w:hAnsi="仿宋_GB2312" w:eastAsia="仿宋_GB2312" w:cs="仿宋_GB2312"/>
                <w:b w:val="0"/>
                <w:sz w:val="24"/>
                <w:szCs w:val="24"/>
                <w:u w:val="none"/>
                <w:lang w:val="en-US" w:eastAsia="zh-CN"/>
              </w:rPr>
              <w:t>2</w:t>
            </w:r>
            <w:r>
              <w:rPr>
                <w:rFonts w:ascii="仿宋_GB2312" w:hAnsi="仿宋_GB2312" w:eastAsia="仿宋_GB2312" w:cs="仿宋_GB2312"/>
                <w:b w:val="0"/>
                <w:sz w:val="24"/>
                <w:szCs w:val="24"/>
                <w:u w:val="none"/>
              </w:rPr>
              <w:t>件；发表国内外高水平学术论文≥10篇，培养博士、硕士研究生≥10名。</w:t>
            </w:r>
          </w:p>
          <w:p w14:paraId="0AB626D4">
            <w:pPr>
              <w:pStyle w:val="17"/>
              <w:keepNext w:val="0"/>
              <w:keepLines w:val="0"/>
              <w:pageBreakBefore w:val="0"/>
              <w:kinsoku/>
              <w:wordWrap/>
              <w:overflowPunct/>
              <w:topLinePunct w:val="0"/>
              <w:autoSpaceDE/>
              <w:autoSpaceDN/>
              <w:bidi w:val="0"/>
              <w:adjustRightInd/>
              <w:snapToGrid w:val="0"/>
              <w:spacing w:line="400" w:lineRule="exact"/>
              <w:ind w:firstLine="514" w:firstLineChars="200"/>
              <w:textAlignment w:val="auto"/>
              <w:rPr>
                <w:rFonts w:ascii="仿宋_GB2312" w:hAnsi="仿宋_GB2312" w:eastAsia="仿宋_GB2312" w:cs="仿宋_GB2312"/>
                <w:b w:val="0"/>
                <w:sz w:val="24"/>
                <w:szCs w:val="24"/>
                <w:u w:val="none"/>
              </w:rPr>
            </w:pPr>
            <w:r>
              <w:rPr>
                <w:rFonts w:ascii="仿宋_GB2312" w:hAnsi="仿宋_GB2312" w:eastAsia="仿宋_GB2312" w:cs="仿宋_GB2312"/>
                <w:b w:val="0"/>
                <w:sz w:val="24"/>
                <w:szCs w:val="24"/>
                <w:u w:val="none"/>
              </w:rPr>
              <w:t>（2）项目预期新增产值≥</w:t>
            </w:r>
            <w:r>
              <w:rPr>
                <w:rFonts w:hint="eastAsia" w:ascii="仿宋_GB2312" w:hAnsi="仿宋_GB2312" w:eastAsia="仿宋_GB2312" w:cs="仿宋_GB2312"/>
                <w:b w:val="0"/>
                <w:sz w:val="24"/>
                <w:szCs w:val="24"/>
                <w:highlight w:val="none"/>
                <w:u w:val="none"/>
                <w:lang w:val="en-US" w:eastAsia="zh-CN"/>
              </w:rPr>
              <w:t>2</w:t>
            </w:r>
            <w:r>
              <w:rPr>
                <w:rFonts w:ascii="仿宋_GB2312" w:hAnsi="仿宋_GB2312" w:eastAsia="仿宋_GB2312" w:cs="仿宋_GB2312"/>
                <w:b w:val="0"/>
                <w:sz w:val="24"/>
                <w:szCs w:val="24"/>
                <w:highlight w:val="none"/>
                <w:u w:val="none"/>
              </w:rPr>
              <w:t>00</w:t>
            </w:r>
            <w:r>
              <w:rPr>
                <w:rFonts w:ascii="仿宋_GB2312" w:hAnsi="仿宋_GB2312" w:eastAsia="仿宋_GB2312" w:cs="仿宋_GB2312"/>
                <w:b w:val="0"/>
                <w:sz w:val="24"/>
                <w:szCs w:val="24"/>
                <w:u w:val="none"/>
              </w:rPr>
              <w:t>万元。</w:t>
            </w:r>
          </w:p>
          <w:p w14:paraId="71014B76">
            <w:pPr>
              <w:pStyle w:val="17"/>
              <w:keepNext w:val="0"/>
              <w:keepLines w:val="0"/>
              <w:pageBreakBefore w:val="0"/>
              <w:kinsoku/>
              <w:wordWrap/>
              <w:overflowPunct/>
              <w:topLinePunct w:val="0"/>
              <w:autoSpaceDE/>
              <w:autoSpaceDN/>
              <w:bidi w:val="0"/>
              <w:adjustRightInd/>
              <w:snapToGrid w:val="0"/>
              <w:spacing w:line="400" w:lineRule="exact"/>
              <w:ind w:firstLine="514" w:firstLineChars="200"/>
              <w:textAlignment w:val="auto"/>
              <w:rPr>
                <w:rFonts w:hint="eastAsia" w:ascii="仿宋_GB2312" w:hAnsi="仿宋_GB2312" w:eastAsia="仿宋_GB2312" w:cs="仿宋_GB2312"/>
                <w:b/>
                <w:bCs/>
                <w:sz w:val="24"/>
                <w:szCs w:val="24"/>
                <w:u w:val="none"/>
                <w:lang w:val="en-US" w:eastAsia="zh-CN"/>
              </w:rPr>
            </w:pPr>
            <w:r>
              <w:rPr>
                <w:rFonts w:hint="eastAsia" w:ascii="仿宋_GB2312" w:hAnsi="仿宋_GB2312" w:eastAsia="仿宋_GB2312" w:cs="仿宋_GB2312"/>
                <w:b/>
                <w:bCs/>
                <w:sz w:val="24"/>
                <w:szCs w:val="24"/>
                <w:u w:val="none"/>
                <w:lang w:val="en-US" w:eastAsia="zh-CN"/>
              </w:rPr>
              <w:t>三、资助经费</w:t>
            </w:r>
          </w:p>
          <w:p w14:paraId="63BA9600">
            <w:pPr>
              <w:pStyle w:val="17"/>
              <w:keepNext w:val="0"/>
              <w:keepLines w:val="0"/>
              <w:pageBreakBefore w:val="0"/>
              <w:kinsoku/>
              <w:wordWrap/>
              <w:overflowPunct/>
              <w:topLinePunct w:val="0"/>
              <w:autoSpaceDE/>
              <w:autoSpaceDN/>
              <w:bidi w:val="0"/>
              <w:adjustRightInd/>
              <w:snapToGrid w:val="0"/>
              <w:spacing w:line="400" w:lineRule="exact"/>
              <w:ind w:firstLine="514" w:firstLineChars="200"/>
              <w:textAlignment w:val="auto"/>
              <w:rPr>
                <w:rFonts w:hint="eastAsia" w:ascii="仿宋_GB2312" w:eastAsia="仿宋_GB2312"/>
                <w:sz w:val="24"/>
                <w:szCs w:val="24"/>
                <w:u w:val="none"/>
              </w:rPr>
            </w:pPr>
            <w:r>
              <w:rPr>
                <w:rFonts w:hint="eastAsia" w:ascii="仿宋_GB2312" w:hAnsi="仿宋_GB2312" w:eastAsia="仿宋_GB2312" w:cs="仿宋_GB2312"/>
                <w:b w:val="0"/>
                <w:sz w:val="24"/>
                <w:szCs w:val="24"/>
                <w:u w:val="none"/>
                <w:lang w:val="en-US" w:eastAsia="zh-CN"/>
              </w:rPr>
              <w:t>项目总投资600万元，申请科技资助300万元、自筹300万元。</w:t>
            </w:r>
          </w:p>
        </w:tc>
        <w:tc>
          <w:tcPr>
            <w:tcW w:w="1447" w:type="dxa"/>
            <w:tcBorders>
              <w:top w:val="single" w:color="auto" w:sz="4" w:space="0"/>
              <w:left w:val="single" w:color="auto" w:sz="4" w:space="0"/>
              <w:bottom w:val="single" w:color="auto" w:sz="4" w:space="0"/>
              <w:right w:val="single" w:color="auto" w:sz="4" w:space="0"/>
            </w:tcBorders>
            <w:vAlign w:val="center"/>
          </w:tcPr>
          <w:p w14:paraId="7A836619">
            <w:pPr>
              <w:keepNext w:val="0"/>
              <w:keepLines w:val="0"/>
              <w:pageBreakBefore w:val="0"/>
              <w:kinsoku/>
              <w:wordWrap/>
              <w:overflowPunct/>
              <w:topLinePunct w:val="0"/>
              <w:autoSpaceDE/>
              <w:autoSpaceDN/>
              <w:bidi w:val="0"/>
              <w:adjustRightInd/>
              <w:snapToGrid w:val="0"/>
              <w:spacing w:line="400" w:lineRule="exact"/>
              <w:jc w:val="center"/>
              <w:textAlignment w:val="auto"/>
              <w:rPr>
                <w:rFonts w:hint="eastAsia" w:ascii="仿宋_GB2312" w:eastAsia="仿宋_GB2312"/>
                <w:sz w:val="24"/>
                <w:szCs w:val="24"/>
                <w:u w:val="none"/>
                <w:lang w:eastAsia="zh-CN"/>
              </w:rPr>
            </w:pPr>
            <w:r>
              <w:rPr>
                <w:rFonts w:ascii="仿宋_GB2312" w:hAnsi="仿宋_GB2312" w:eastAsia="仿宋_GB2312" w:cs="仿宋_GB2312"/>
                <w:b w:val="0"/>
                <w:sz w:val="24"/>
                <w:szCs w:val="24"/>
                <w:u w:val="none"/>
              </w:rPr>
              <w:t>300</w:t>
            </w:r>
          </w:p>
        </w:tc>
        <w:tc>
          <w:tcPr>
            <w:tcW w:w="1556" w:type="dxa"/>
            <w:tcBorders>
              <w:top w:val="single" w:color="auto" w:sz="4" w:space="0"/>
              <w:left w:val="single" w:color="auto" w:sz="4" w:space="0"/>
              <w:bottom w:val="single" w:color="auto" w:sz="4" w:space="0"/>
              <w:right w:val="single" w:color="auto" w:sz="4" w:space="0"/>
            </w:tcBorders>
            <w:vAlign w:val="center"/>
          </w:tcPr>
          <w:p w14:paraId="62FE29C7">
            <w:r>
              <w:rPr>
                <w:rFonts w:hint="eastAsia" w:ascii="仿宋_GB2312" w:hAnsi="宋体" w:eastAsia="仿宋_GB2312" w:cs="宋体"/>
                <w:bCs/>
                <w:kern w:val="0"/>
                <w:sz w:val="24"/>
                <w:szCs w:val="24"/>
                <w:u w:val="none"/>
              </w:rPr>
              <w:t>申报单位须对本专题的整体研发内容和目标进行申报</w:t>
            </w:r>
          </w:p>
          <w:p w14:paraId="50F57419"/>
          <w:p w14:paraId="0FEEB434"/>
          <w:p w14:paraId="0B470FB4"/>
          <w:p w14:paraId="4669F790"/>
          <w:p w14:paraId="48FCC3C5"/>
          <w:p w14:paraId="5BA197F9"/>
          <w:p w14:paraId="6A1B2A6E"/>
          <w:p w14:paraId="73020B33"/>
          <w:p w14:paraId="3CAED5BD"/>
          <w:p w14:paraId="3A3D7D53"/>
          <w:p w14:paraId="38FAEC98">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仿宋_GB2312" w:eastAsia="仿宋_GB2312"/>
                <w:sz w:val="24"/>
                <w:szCs w:val="24"/>
                <w:u w:val="none"/>
              </w:rPr>
            </w:pPr>
          </w:p>
        </w:tc>
      </w:tr>
    </w:tbl>
    <w:p w14:paraId="2300B9E5">
      <w:pPr>
        <w:rPr>
          <w:rFonts w:hint="default"/>
          <w:u w:val="none"/>
          <w:lang w:val="en-US" w:eastAsia="zh-CN"/>
        </w:rPr>
      </w:pPr>
    </w:p>
    <w:p w14:paraId="2801B5D8">
      <w:pPr>
        <w:rPr>
          <w:rFonts w:hint="default"/>
          <w:u w:val="none"/>
          <w:lang w:val="en-US" w:eastAsia="zh-CN"/>
        </w:rPr>
      </w:pPr>
    </w:p>
    <w:p w14:paraId="220AC252">
      <w:pPr>
        <w:pStyle w:val="2"/>
        <w:rPr>
          <w:rFonts w:hint="default"/>
          <w:u w:val="none"/>
          <w:lang w:val="en-US" w:eastAsia="zh-CN"/>
        </w:rPr>
      </w:pPr>
    </w:p>
    <w:p w14:paraId="6CA8FA97">
      <w:pPr>
        <w:pStyle w:val="2"/>
        <w:rPr>
          <w:rFonts w:hint="default"/>
          <w:u w:val="none"/>
          <w:lang w:val="en-US" w:eastAsia="zh-CN"/>
        </w:rPr>
      </w:pPr>
    </w:p>
    <w:p w14:paraId="5B3E2F4C">
      <w:pPr>
        <w:pStyle w:val="2"/>
        <w:rPr>
          <w:rFonts w:hint="default"/>
          <w:u w:val="none"/>
          <w:lang w:val="en-US" w:eastAsia="zh-CN"/>
        </w:rPr>
      </w:pPr>
    </w:p>
    <w:p w14:paraId="1F29EDED">
      <w:pPr>
        <w:pStyle w:val="2"/>
        <w:rPr>
          <w:rFonts w:hint="default"/>
          <w:u w:val="none"/>
          <w:lang w:val="en-US" w:eastAsia="zh-CN"/>
        </w:rPr>
      </w:pPr>
    </w:p>
    <w:p w14:paraId="77262FCB">
      <w:pPr>
        <w:pStyle w:val="2"/>
        <w:rPr>
          <w:rFonts w:hint="default"/>
          <w:u w:val="none"/>
          <w:lang w:val="en-US" w:eastAsia="zh-CN"/>
        </w:rPr>
      </w:pPr>
    </w:p>
    <w:p w14:paraId="0C60A917">
      <w:pPr>
        <w:pStyle w:val="2"/>
        <w:rPr>
          <w:rFonts w:hint="default"/>
          <w:u w:val="none"/>
          <w:lang w:val="en-US" w:eastAsia="zh-CN"/>
        </w:rPr>
      </w:pPr>
    </w:p>
    <w:p w14:paraId="1DB48048">
      <w:pPr>
        <w:pStyle w:val="2"/>
        <w:rPr>
          <w:rFonts w:hint="default"/>
          <w:u w:val="none"/>
          <w:lang w:val="en-US" w:eastAsia="zh-CN"/>
        </w:rPr>
      </w:pPr>
    </w:p>
    <w:p w14:paraId="5135AD71">
      <w:pPr>
        <w:pStyle w:val="2"/>
        <w:rPr>
          <w:rFonts w:hint="default"/>
          <w:u w:val="none"/>
          <w:lang w:val="en-US" w:eastAsia="zh-CN"/>
        </w:rPr>
      </w:pPr>
    </w:p>
    <w:p w14:paraId="53D77E47">
      <w:pPr>
        <w:pStyle w:val="2"/>
        <w:rPr>
          <w:rFonts w:hint="default"/>
          <w:u w:val="none"/>
          <w:lang w:val="en-US" w:eastAsia="zh-CN"/>
        </w:rPr>
      </w:pPr>
    </w:p>
    <w:p w14:paraId="50CE3762">
      <w:pPr>
        <w:pStyle w:val="9"/>
        <w:jc w:val="center"/>
        <w:rPr>
          <w:rFonts w:hint="default" w:ascii="黑体" w:hAnsi="黑体" w:eastAsia="黑体" w:cs="黑体"/>
          <w:sz w:val="32"/>
          <w:szCs w:val="32"/>
          <w:u w:val="none"/>
          <w:lang w:val="en-US" w:eastAsia="zh-CN"/>
        </w:rPr>
      </w:pPr>
      <w:r>
        <w:rPr>
          <w:rFonts w:hint="eastAsia" w:ascii="黑体" w:hAnsi="黑体" w:eastAsia="黑体" w:cs="黑体"/>
          <w:sz w:val="32"/>
          <w:szCs w:val="32"/>
          <w:u w:val="none"/>
        </w:rPr>
        <w:t>科技重大专项申报选题表（</w:t>
      </w:r>
      <w:r>
        <w:rPr>
          <w:rFonts w:hint="eastAsia" w:ascii="黑体" w:hAnsi="黑体" w:eastAsia="黑体" w:cs="黑体"/>
          <w:sz w:val="32"/>
          <w:szCs w:val="32"/>
          <w:u w:val="none"/>
          <w:lang w:eastAsia="zh-CN"/>
        </w:rPr>
        <w:t>十一</w:t>
      </w:r>
      <w:r>
        <w:rPr>
          <w:rFonts w:hint="eastAsia" w:ascii="黑体" w:hAnsi="黑体" w:eastAsia="黑体" w:cs="黑体"/>
          <w:sz w:val="32"/>
          <w:szCs w:val="32"/>
          <w:u w:val="none"/>
        </w:rPr>
        <w:t>）指南代码</w:t>
      </w:r>
      <w:r>
        <w:rPr>
          <w:rFonts w:ascii="黑体" w:hAnsi="黑体" w:eastAsia="黑体" w:cs="黑体"/>
          <w:sz w:val="32"/>
          <w:szCs w:val="32"/>
          <w:u w:val="none"/>
        </w:rPr>
        <w:t>202</w:t>
      </w:r>
      <w:r>
        <w:rPr>
          <w:rFonts w:hint="eastAsia" w:ascii="黑体" w:hAnsi="黑体" w:eastAsia="黑体" w:cs="黑体"/>
          <w:sz w:val="32"/>
          <w:szCs w:val="32"/>
          <w:u w:val="none"/>
          <w:lang w:val="en-US" w:eastAsia="zh-CN"/>
        </w:rPr>
        <w:t>6YZ0103</w:t>
      </w:r>
    </w:p>
    <w:tbl>
      <w:tblPr>
        <w:tblStyle w:val="12"/>
        <w:tblW w:w="9429" w:type="dxa"/>
        <w:tblInd w:w="-1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70"/>
        <w:gridCol w:w="1314"/>
        <w:gridCol w:w="3742"/>
        <w:gridCol w:w="1447"/>
        <w:gridCol w:w="1556"/>
      </w:tblGrid>
      <w:tr w14:paraId="4B586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9" w:hRule="atLeast"/>
        </w:trPr>
        <w:tc>
          <w:tcPr>
            <w:tcW w:w="1370" w:type="dxa"/>
            <w:tcBorders>
              <w:top w:val="single" w:color="auto" w:sz="4" w:space="0"/>
              <w:left w:val="single" w:color="auto" w:sz="4" w:space="0"/>
              <w:bottom w:val="single" w:color="auto" w:sz="4" w:space="0"/>
              <w:right w:val="single" w:color="auto" w:sz="4" w:space="0"/>
            </w:tcBorders>
            <w:vAlign w:val="center"/>
          </w:tcPr>
          <w:p w14:paraId="0C831D2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bCs/>
                <w:kern w:val="0"/>
                <w:sz w:val="24"/>
                <w:szCs w:val="24"/>
                <w:u w:val="none"/>
              </w:rPr>
            </w:pPr>
            <w:r>
              <w:rPr>
                <w:rFonts w:hint="eastAsia" w:ascii="黑体" w:hAnsi="黑体" w:eastAsia="黑体" w:cs="黑体"/>
                <w:bCs/>
                <w:kern w:val="0"/>
                <w:sz w:val="24"/>
                <w:szCs w:val="24"/>
                <w:u w:val="none"/>
              </w:rPr>
              <w:t>所属重大专项名称</w:t>
            </w:r>
          </w:p>
        </w:tc>
        <w:tc>
          <w:tcPr>
            <w:tcW w:w="1314" w:type="dxa"/>
            <w:tcBorders>
              <w:top w:val="single" w:color="auto" w:sz="4" w:space="0"/>
              <w:left w:val="single" w:color="auto" w:sz="4" w:space="0"/>
              <w:bottom w:val="single" w:color="auto" w:sz="4" w:space="0"/>
              <w:right w:val="single" w:color="auto" w:sz="4" w:space="0"/>
            </w:tcBorders>
            <w:vAlign w:val="center"/>
          </w:tcPr>
          <w:p w14:paraId="60C6833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sz w:val="24"/>
                <w:szCs w:val="24"/>
                <w:u w:val="none"/>
              </w:rPr>
            </w:pPr>
            <w:r>
              <w:rPr>
                <w:rFonts w:hint="eastAsia" w:ascii="黑体" w:hAnsi="黑体" w:eastAsia="黑体" w:cs="黑体"/>
                <w:sz w:val="24"/>
                <w:szCs w:val="24"/>
                <w:u w:val="none"/>
              </w:rPr>
              <w:t>选题</w:t>
            </w:r>
          </w:p>
          <w:p w14:paraId="4B8423A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sz w:val="24"/>
                <w:szCs w:val="24"/>
                <w:u w:val="none"/>
              </w:rPr>
            </w:pPr>
            <w:r>
              <w:rPr>
                <w:rFonts w:hint="eastAsia" w:ascii="黑体" w:hAnsi="黑体" w:eastAsia="黑体" w:cs="黑体"/>
                <w:sz w:val="24"/>
                <w:szCs w:val="24"/>
                <w:u w:val="none"/>
              </w:rPr>
              <w:t>方向</w:t>
            </w:r>
          </w:p>
        </w:tc>
        <w:tc>
          <w:tcPr>
            <w:tcW w:w="3742" w:type="dxa"/>
            <w:tcBorders>
              <w:top w:val="single" w:color="auto" w:sz="4" w:space="0"/>
              <w:left w:val="single" w:color="auto" w:sz="4" w:space="0"/>
              <w:bottom w:val="single" w:color="auto" w:sz="4" w:space="0"/>
              <w:right w:val="single" w:color="auto" w:sz="4" w:space="0"/>
            </w:tcBorders>
            <w:vAlign w:val="center"/>
          </w:tcPr>
          <w:p w14:paraId="3A6A10F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sz w:val="24"/>
                <w:szCs w:val="24"/>
                <w:u w:val="none"/>
              </w:rPr>
            </w:pPr>
            <w:r>
              <w:rPr>
                <w:rFonts w:hint="eastAsia" w:ascii="黑体" w:hAnsi="黑体" w:eastAsia="黑体" w:cs="黑体"/>
                <w:sz w:val="24"/>
                <w:szCs w:val="24"/>
                <w:u w:val="none"/>
              </w:rPr>
              <w:t>选题方向重点内容</w:t>
            </w:r>
          </w:p>
        </w:tc>
        <w:tc>
          <w:tcPr>
            <w:tcW w:w="1447" w:type="dxa"/>
            <w:tcBorders>
              <w:top w:val="single" w:color="auto" w:sz="4" w:space="0"/>
              <w:left w:val="single" w:color="auto" w:sz="4" w:space="0"/>
              <w:bottom w:val="single" w:color="auto" w:sz="4" w:space="0"/>
              <w:right w:val="single" w:color="auto" w:sz="4" w:space="0"/>
            </w:tcBorders>
            <w:vAlign w:val="center"/>
          </w:tcPr>
          <w:p w14:paraId="33C3442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sz w:val="24"/>
                <w:szCs w:val="24"/>
                <w:u w:val="none"/>
              </w:rPr>
            </w:pPr>
            <w:r>
              <w:rPr>
                <w:rFonts w:hint="eastAsia" w:ascii="黑体" w:hAnsi="黑体" w:eastAsia="黑体" w:cs="黑体"/>
                <w:sz w:val="24"/>
                <w:szCs w:val="24"/>
                <w:u w:val="none"/>
                <w:lang w:eastAsia="zh-CN"/>
              </w:rPr>
              <w:t>最高</w:t>
            </w:r>
            <w:r>
              <w:rPr>
                <w:rFonts w:hint="eastAsia" w:ascii="黑体" w:hAnsi="黑体" w:eastAsia="黑体" w:cs="黑体"/>
                <w:sz w:val="24"/>
                <w:szCs w:val="24"/>
                <w:u w:val="none"/>
              </w:rPr>
              <w:t>申请资助经费</w:t>
            </w:r>
          </w:p>
          <w:p w14:paraId="7FF0871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sz w:val="24"/>
                <w:szCs w:val="24"/>
                <w:u w:val="none"/>
              </w:rPr>
            </w:pPr>
            <w:r>
              <w:rPr>
                <w:rFonts w:hint="eastAsia" w:ascii="黑体" w:hAnsi="黑体" w:eastAsia="黑体" w:cs="黑体"/>
                <w:sz w:val="24"/>
                <w:szCs w:val="24"/>
                <w:u w:val="none"/>
              </w:rPr>
              <w:t>（万元）</w:t>
            </w:r>
          </w:p>
        </w:tc>
        <w:tc>
          <w:tcPr>
            <w:tcW w:w="1556" w:type="dxa"/>
            <w:tcBorders>
              <w:top w:val="single" w:color="auto" w:sz="4" w:space="0"/>
              <w:left w:val="single" w:color="auto" w:sz="4" w:space="0"/>
              <w:bottom w:val="single" w:color="auto" w:sz="4" w:space="0"/>
              <w:right w:val="single" w:color="auto" w:sz="4" w:space="0"/>
            </w:tcBorders>
            <w:vAlign w:val="center"/>
          </w:tcPr>
          <w:p w14:paraId="0A63661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sz w:val="24"/>
                <w:szCs w:val="24"/>
                <w:u w:val="none"/>
              </w:rPr>
            </w:pPr>
            <w:r>
              <w:rPr>
                <w:rFonts w:hint="eastAsia" w:ascii="仿宋_GB2312" w:hAnsi="仿宋_GB2312" w:eastAsia="仿宋_GB2312" w:cs="仿宋_GB2312"/>
                <w:b/>
                <w:sz w:val="24"/>
                <w:szCs w:val="24"/>
                <w:u w:val="none"/>
              </w:rPr>
              <w:t>要求</w:t>
            </w:r>
          </w:p>
        </w:tc>
      </w:tr>
      <w:tr w14:paraId="1B6F0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9" w:hRule="atLeast"/>
        </w:trPr>
        <w:tc>
          <w:tcPr>
            <w:tcW w:w="1370" w:type="dxa"/>
            <w:tcBorders>
              <w:top w:val="single" w:color="auto" w:sz="4" w:space="0"/>
              <w:left w:val="single" w:color="auto" w:sz="4" w:space="0"/>
              <w:bottom w:val="single" w:color="auto" w:sz="4" w:space="0"/>
              <w:right w:val="single" w:color="auto" w:sz="4" w:space="0"/>
            </w:tcBorders>
            <w:vAlign w:val="center"/>
          </w:tcPr>
          <w:p w14:paraId="691BCB5F">
            <w:pPr>
              <w:keepNext w:val="0"/>
              <w:keepLines w:val="0"/>
              <w:pageBreakBefore w:val="0"/>
              <w:kinsoku/>
              <w:wordWrap/>
              <w:overflowPunct/>
              <w:topLinePunct w:val="0"/>
              <w:autoSpaceDE/>
              <w:autoSpaceDN/>
              <w:bidi w:val="0"/>
              <w:adjustRightInd/>
              <w:spacing w:line="400" w:lineRule="exact"/>
              <w:jc w:val="center"/>
              <w:textAlignment w:val="auto"/>
              <w:rPr>
                <w:rFonts w:hint="eastAsia" w:ascii="仿宋_GB2312" w:hAnsi="宋体" w:eastAsia="仿宋_GB2312" w:cs="宋体"/>
                <w:bCs/>
                <w:kern w:val="0"/>
                <w:sz w:val="24"/>
                <w:szCs w:val="24"/>
                <w:u w:val="none"/>
              </w:rPr>
            </w:pPr>
            <w:r>
              <w:rPr>
                <w:rFonts w:hint="eastAsia" w:ascii="仿宋_GB2312" w:hAnsi="仿宋_GB2312" w:cs="仿宋_GB2312"/>
                <w:b w:val="0"/>
                <w:sz w:val="24"/>
                <w:szCs w:val="24"/>
                <w:u w:val="none"/>
                <w:lang w:eastAsia="zh-CN"/>
              </w:rPr>
              <w:t>重大疾病防治</w:t>
            </w:r>
          </w:p>
        </w:tc>
        <w:tc>
          <w:tcPr>
            <w:tcW w:w="1314" w:type="dxa"/>
            <w:tcBorders>
              <w:top w:val="single" w:color="auto" w:sz="4" w:space="0"/>
              <w:left w:val="single" w:color="auto" w:sz="4" w:space="0"/>
              <w:bottom w:val="single" w:color="auto" w:sz="4" w:space="0"/>
              <w:right w:val="single" w:color="auto" w:sz="4" w:space="0"/>
            </w:tcBorders>
            <w:vAlign w:val="center"/>
          </w:tcPr>
          <w:p w14:paraId="45974B2A">
            <w:pPr>
              <w:keepNext w:val="0"/>
              <w:keepLines w:val="0"/>
              <w:pageBreakBefore w:val="0"/>
              <w:kinsoku/>
              <w:wordWrap/>
              <w:overflowPunct/>
              <w:topLinePunct w:val="0"/>
              <w:autoSpaceDE/>
              <w:autoSpaceDN/>
              <w:bidi w:val="0"/>
              <w:adjustRightInd/>
              <w:spacing w:line="400" w:lineRule="exact"/>
              <w:jc w:val="left"/>
              <w:textAlignment w:val="auto"/>
              <w:rPr>
                <w:rFonts w:hint="eastAsia" w:ascii="仿宋_GB2312" w:eastAsia="仿宋_GB2312"/>
                <w:sz w:val="24"/>
                <w:szCs w:val="24"/>
                <w:u w:val="none"/>
              </w:rPr>
            </w:pPr>
            <w:r>
              <w:rPr>
                <w:rFonts w:ascii="仿宋_GB2312" w:hAnsi="仿宋_GB2312" w:eastAsia="仿宋_GB2312" w:cs="仿宋_GB2312"/>
                <w:b w:val="0"/>
                <w:color w:val="000000"/>
                <w:kern w:val="0"/>
                <w:sz w:val="24"/>
                <w:szCs w:val="24"/>
                <w:u w:val="none"/>
                <w:lang w:val="en-US" w:eastAsia="zh-CN" w:bidi="ar-SA"/>
              </w:rPr>
              <w:t>粒子放疗全流程治疗关键技术集成优化与临床应用</w:t>
            </w:r>
          </w:p>
        </w:tc>
        <w:tc>
          <w:tcPr>
            <w:tcW w:w="3742" w:type="dxa"/>
            <w:tcBorders>
              <w:top w:val="single" w:color="auto" w:sz="4" w:space="0"/>
              <w:left w:val="single" w:color="auto" w:sz="4" w:space="0"/>
              <w:bottom w:val="single" w:color="auto" w:sz="4" w:space="0"/>
              <w:right w:val="single" w:color="auto" w:sz="4" w:space="0"/>
            </w:tcBorders>
            <w:vAlign w:val="top"/>
          </w:tcPr>
          <w:p w14:paraId="69F3CC0F">
            <w:pPr>
              <w:pStyle w:val="17"/>
              <w:keepNext w:val="0"/>
              <w:keepLines w:val="0"/>
              <w:pageBreakBefore w:val="0"/>
              <w:kinsoku/>
              <w:wordWrap/>
              <w:overflowPunct/>
              <w:topLinePunct w:val="0"/>
              <w:autoSpaceDE/>
              <w:autoSpaceDN/>
              <w:bidi w:val="0"/>
              <w:adjustRightInd/>
              <w:snapToGrid w:val="0"/>
              <w:spacing w:line="400" w:lineRule="exact"/>
              <w:ind w:firstLine="514" w:firstLineChars="200"/>
              <w:textAlignment w:val="auto"/>
              <w:rPr>
                <w:rFonts w:ascii="仿宋_GB2312" w:hAnsi="仿宋_GB2312" w:eastAsia="仿宋_GB2312" w:cs="仿宋_GB2312"/>
                <w:b/>
                <w:bCs/>
                <w:kern w:val="2"/>
                <w:sz w:val="24"/>
                <w:szCs w:val="24"/>
                <w:u w:val="none"/>
              </w:rPr>
            </w:pPr>
            <w:r>
              <w:rPr>
                <w:rFonts w:ascii="仿宋_GB2312" w:hAnsi="仿宋_GB2312" w:eastAsia="仿宋_GB2312" w:cs="仿宋_GB2312"/>
                <w:b/>
                <w:bCs/>
                <w:color w:val="000000"/>
                <w:sz w:val="24"/>
                <w:szCs w:val="24"/>
                <w:u w:val="none"/>
              </w:rPr>
              <w:t>一、主要研发内容：</w:t>
            </w:r>
          </w:p>
          <w:p w14:paraId="6DF34477">
            <w:pPr>
              <w:pStyle w:val="17"/>
              <w:keepNext w:val="0"/>
              <w:keepLines w:val="0"/>
              <w:pageBreakBefore w:val="0"/>
              <w:widowControl/>
              <w:suppressLineNumbers w:val="0"/>
              <w:kinsoku/>
              <w:wordWrap/>
              <w:overflowPunct/>
              <w:topLinePunct w:val="0"/>
              <w:autoSpaceDE/>
              <w:autoSpaceDN/>
              <w:bidi w:val="0"/>
              <w:adjustRightInd/>
              <w:spacing w:line="400" w:lineRule="exact"/>
              <w:ind w:firstLine="514" w:firstLineChars="200"/>
              <w:textAlignment w:val="auto"/>
              <w:rPr>
                <w:rFonts w:ascii="宋体;汉仪书宋二KW" w:hAnsi="宋体;汉仪书宋二KW" w:eastAsia="宋体;汉仪书宋二KW" w:cs="宋体;汉仪书宋二KW"/>
                <w:b w:val="0"/>
                <w:color w:val="000000"/>
                <w:sz w:val="24"/>
                <w:szCs w:val="24"/>
                <w:u w:val="none"/>
                <w:lang w:val="en-US" w:eastAsia="zh-CN"/>
              </w:rPr>
            </w:pPr>
            <w:r>
              <w:rPr>
                <w:rFonts w:ascii="仿宋_GB2312" w:hAnsi="仿宋_GB2312" w:eastAsia="仿宋_GB2312" w:cs="仿宋_GB2312"/>
                <w:b w:val="0"/>
                <w:bCs w:val="0"/>
                <w:color w:val="000000"/>
                <w:sz w:val="24"/>
                <w:szCs w:val="24"/>
                <w:u w:val="none"/>
              </w:rPr>
              <w:t>依托自研</w:t>
            </w:r>
            <w:r>
              <w:rPr>
                <w:rFonts w:hint="eastAsia" w:ascii="仿宋_GB2312" w:hAnsi="仿宋_GB2312" w:eastAsia="仿宋_GB2312" w:cs="仿宋_GB2312"/>
                <w:b w:val="0"/>
                <w:bCs w:val="0"/>
                <w:color w:val="000000"/>
                <w:sz w:val="24"/>
                <w:szCs w:val="24"/>
                <w:u w:val="none"/>
                <w:lang w:val="en-US" w:eastAsia="zh-CN"/>
              </w:rPr>
              <w:t>粒子放疗</w:t>
            </w:r>
            <w:r>
              <w:rPr>
                <w:rFonts w:ascii="仿宋_GB2312" w:hAnsi="仿宋_GB2312" w:eastAsia="仿宋_GB2312" w:cs="仿宋_GB2312"/>
                <w:b w:val="0"/>
                <w:bCs w:val="0"/>
                <w:color w:val="000000"/>
                <w:sz w:val="24"/>
                <w:szCs w:val="24"/>
                <w:u w:val="none"/>
              </w:rPr>
              <w:t>平台</w:t>
            </w:r>
            <w:r>
              <w:rPr>
                <w:rFonts w:ascii="仿宋_GB2312" w:hAnsi="仿宋_GB2312" w:eastAsia="仿宋_GB2312" w:cs="仿宋_GB2312"/>
                <w:b w:val="0"/>
                <w:bCs w:val="0"/>
                <w:color w:val="000000"/>
                <w:kern w:val="0"/>
                <w:sz w:val="24"/>
                <w:szCs w:val="24"/>
                <w:u w:val="none"/>
                <w:lang w:val="en-US" w:eastAsia="zh-CN" w:bidi="ar-SA"/>
              </w:rPr>
              <w:t>，围绕</w:t>
            </w:r>
            <w:r>
              <w:rPr>
                <w:rFonts w:hint="default" w:ascii="仿宋_GB2312" w:hAnsi="仿宋_GB2312" w:eastAsia="仿宋_GB2312" w:cs="仿宋_GB2312"/>
                <w:b w:val="0"/>
                <w:bCs w:val="0"/>
                <w:color w:val="000000"/>
                <w:kern w:val="0"/>
                <w:sz w:val="24"/>
                <w:szCs w:val="24"/>
                <w:u w:val="none"/>
                <w:lang w:val="en-US" w:eastAsia="zh-CN" w:bidi="ar-SA"/>
              </w:rPr>
              <w:t>“影像—计划—验证—递送—质控—临床”</w:t>
            </w:r>
            <w:r>
              <w:rPr>
                <w:rFonts w:hint="eastAsia" w:ascii="仿宋_GB2312" w:hAnsi="仿宋_GB2312" w:eastAsia="仿宋_GB2312" w:cs="仿宋_GB2312"/>
                <w:b w:val="0"/>
                <w:bCs w:val="0"/>
                <w:color w:val="000000"/>
                <w:kern w:val="0"/>
                <w:sz w:val="24"/>
                <w:szCs w:val="24"/>
                <w:u w:val="none"/>
                <w:lang w:val="en-US" w:eastAsia="zh-CN" w:bidi="ar-SA"/>
              </w:rPr>
              <w:t>，</w:t>
            </w:r>
            <w:r>
              <w:rPr>
                <w:rFonts w:ascii="仿宋_GB2312" w:hAnsi="仿宋_GB2312" w:eastAsia="仿宋_GB2312" w:cs="仿宋_GB2312"/>
                <w:b w:val="0"/>
                <w:bCs w:val="0"/>
                <w:color w:val="000000"/>
                <w:sz w:val="24"/>
                <w:szCs w:val="24"/>
                <w:u w:val="none"/>
              </w:rPr>
              <w:t>开展攻关：</w:t>
            </w:r>
            <w:r>
              <w:rPr>
                <w:rFonts w:ascii="仿宋_GB2312" w:hAnsi="仿宋_GB2312" w:eastAsia="仿宋_GB2312" w:cs="仿宋_GB2312"/>
                <w:b w:val="0"/>
                <w:sz w:val="24"/>
                <w:szCs w:val="24"/>
                <w:u w:val="none"/>
              </w:rPr>
              <w:br w:type="textWrapping"/>
            </w:r>
            <w:r>
              <w:rPr>
                <w:rFonts w:hint="eastAsia" w:ascii="仿宋_GB2312" w:hAnsi="仿宋_GB2312" w:cs="仿宋_GB2312"/>
                <w:b w:val="0"/>
                <w:sz w:val="24"/>
                <w:szCs w:val="24"/>
                <w:u w:val="none"/>
                <w:lang w:val="en-US" w:eastAsia="zh-CN"/>
              </w:rPr>
              <w:t xml:space="preserve">  </w:t>
            </w:r>
            <w:r>
              <w:rPr>
                <w:rFonts w:ascii="仿宋_GB2312" w:hAnsi="仿宋_GB2312" w:eastAsia="仿宋_GB2312" w:cs="仿宋_GB2312"/>
                <w:b w:val="0"/>
                <w:bCs w:val="0"/>
                <w:color w:val="000000"/>
                <w:sz w:val="24"/>
                <w:szCs w:val="24"/>
                <w:u w:val="none"/>
              </w:rPr>
              <w:t>1.全流程架构与装备协同接口。建立TPS、影像引导、运动检测、剂量验证、QA等与加速器、治疗头、</w:t>
            </w:r>
            <w:r>
              <w:rPr>
                <w:rFonts w:hint="eastAsia" w:ascii="仿宋_GB2312" w:hAnsi="仿宋_GB2312" w:eastAsia="仿宋_GB2312" w:cs="仿宋_GB2312"/>
                <w:b w:val="0"/>
                <w:bCs w:val="0"/>
                <w:color w:val="000000"/>
                <w:sz w:val="24"/>
                <w:szCs w:val="24"/>
                <w:u w:val="none"/>
                <w:lang w:val="en-US" w:eastAsia="zh-CN"/>
              </w:rPr>
              <w:t>360度</w:t>
            </w:r>
            <w:r>
              <w:rPr>
                <w:rFonts w:ascii="仿宋_GB2312" w:hAnsi="仿宋_GB2312" w:eastAsia="仿宋_GB2312" w:cs="仿宋_GB2312"/>
                <w:b w:val="0"/>
                <w:bCs w:val="0"/>
                <w:color w:val="000000"/>
                <w:sz w:val="24"/>
                <w:szCs w:val="24"/>
                <w:u w:val="none"/>
              </w:rPr>
              <w:t>旋转治疗设备的接口规范。</w:t>
            </w:r>
            <w:r>
              <w:rPr>
                <w:rFonts w:ascii="仿宋_GB2312" w:hAnsi="仿宋_GB2312" w:eastAsia="仿宋_GB2312" w:cs="仿宋_GB2312"/>
                <w:b w:val="0"/>
                <w:sz w:val="24"/>
                <w:szCs w:val="24"/>
                <w:u w:val="none"/>
              </w:rPr>
              <w:br w:type="textWrapping"/>
            </w:r>
            <w:r>
              <w:rPr>
                <w:rFonts w:hint="eastAsia" w:ascii="仿宋_GB2312" w:hAnsi="仿宋_GB2312" w:cs="仿宋_GB2312"/>
                <w:b w:val="0"/>
                <w:sz w:val="24"/>
                <w:szCs w:val="24"/>
                <w:u w:val="none"/>
                <w:lang w:val="en-US" w:eastAsia="zh-CN"/>
              </w:rPr>
              <w:t xml:space="preserve">  </w:t>
            </w:r>
            <w:r>
              <w:rPr>
                <w:rFonts w:ascii="仿宋_GB2312" w:hAnsi="仿宋_GB2312" w:eastAsia="仿宋_GB2312" w:cs="仿宋_GB2312"/>
                <w:b w:val="0"/>
                <w:bCs w:val="0"/>
                <w:color w:val="000000"/>
                <w:sz w:val="24"/>
                <w:szCs w:val="24"/>
                <w:u w:val="none"/>
              </w:rPr>
              <w:t>2.自适应粒子治疗计划系统。研发</w:t>
            </w:r>
            <w:r>
              <w:rPr>
                <w:rFonts w:hint="eastAsia" w:ascii="仿宋_GB2312" w:hAnsi="仿宋_GB2312" w:eastAsia="仿宋_GB2312" w:cs="仿宋_GB2312"/>
                <w:b w:val="0"/>
                <w:bCs w:val="0"/>
                <w:color w:val="000000"/>
                <w:sz w:val="24"/>
                <w:szCs w:val="24"/>
                <w:u w:val="none"/>
                <w:lang w:val="en-US" w:eastAsia="zh-CN"/>
              </w:rPr>
              <w:t>基于多模态3</w:t>
            </w:r>
            <w:r>
              <w:rPr>
                <w:rFonts w:hint="default" w:ascii="仿宋_GB2312" w:hAnsi="仿宋_GB2312" w:eastAsia="仿宋_GB2312" w:cs="仿宋_GB2312"/>
                <w:b w:val="0"/>
                <w:bCs w:val="0"/>
                <w:color w:val="000000"/>
                <w:sz w:val="24"/>
                <w:szCs w:val="24"/>
                <w:u w:val="none"/>
                <w:lang w:val="en-US" w:eastAsia="zh-CN"/>
              </w:rPr>
              <w:t>D/4D</w:t>
            </w:r>
            <w:r>
              <w:rPr>
                <w:rFonts w:hint="eastAsia" w:ascii="仿宋_GB2312" w:hAnsi="仿宋_GB2312" w:eastAsia="仿宋_GB2312" w:cs="仿宋_GB2312"/>
                <w:b w:val="0"/>
                <w:bCs w:val="0"/>
                <w:color w:val="000000"/>
                <w:sz w:val="24"/>
                <w:szCs w:val="24"/>
                <w:u w:val="none"/>
                <w:lang w:val="en-US" w:eastAsia="zh-CN"/>
              </w:rPr>
              <w:t>影像</w:t>
            </w:r>
            <w:r>
              <w:rPr>
                <w:rFonts w:ascii="仿宋_GB2312" w:hAnsi="仿宋_GB2312" w:eastAsia="仿宋_GB2312" w:cs="仿宋_GB2312"/>
                <w:b w:val="0"/>
                <w:bCs w:val="0"/>
                <w:color w:val="000000"/>
                <w:sz w:val="24"/>
                <w:szCs w:val="24"/>
                <w:u w:val="none"/>
              </w:rPr>
              <w:t>、</w:t>
            </w:r>
            <w:r>
              <w:rPr>
                <w:rFonts w:hint="eastAsia" w:ascii="仿宋_GB2312" w:hAnsi="仿宋_GB2312" w:eastAsia="仿宋_GB2312" w:cs="仿宋_GB2312"/>
                <w:b w:val="0"/>
                <w:bCs w:val="0"/>
                <w:color w:val="000000"/>
                <w:sz w:val="24"/>
                <w:szCs w:val="24"/>
                <w:u w:val="none"/>
                <w:lang w:val="en-US" w:eastAsia="zh-CN"/>
              </w:rPr>
              <w:t>实现</w:t>
            </w:r>
            <w:r>
              <w:rPr>
                <w:rFonts w:ascii="仿宋_GB2312" w:hAnsi="仿宋_GB2312" w:eastAsia="仿宋_GB2312" w:cs="仿宋_GB2312"/>
                <w:b w:val="0"/>
                <w:bCs w:val="0"/>
                <w:color w:val="000000"/>
                <w:sz w:val="24"/>
                <w:szCs w:val="24"/>
                <w:u w:val="none"/>
              </w:rPr>
              <w:t>自动勾画、剂量计算、鲁棒优化与再计划的自适应TPS</w:t>
            </w:r>
            <w:r>
              <w:rPr>
                <w:rFonts w:hint="eastAsia" w:ascii="仿宋_GB2312" w:hAnsi="仿宋_GB2312" w:eastAsia="仿宋_GB2312" w:cs="仿宋_GB2312"/>
                <w:b w:val="0"/>
                <w:bCs w:val="0"/>
                <w:color w:val="000000"/>
                <w:sz w:val="24"/>
                <w:szCs w:val="24"/>
                <w:u w:val="none"/>
                <w:lang w:val="en-US" w:eastAsia="zh-CN"/>
              </w:rPr>
              <w:t>和标注化导出</w:t>
            </w:r>
            <w:r>
              <w:rPr>
                <w:rFonts w:ascii="仿宋_GB2312" w:hAnsi="仿宋_GB2312" w:eastAsia="仿宋_GB2312" w:cs="仿宋_GB2312"/>
                <w:b w:val="0"/>
                <w:bCs w:val="0"/>
                <w:color w:val="000000"/>
                <w:sz w:val="24"/>
                <w:szCs w:val="24"/>
                <w:u w:val="none"/>
              </w:rPr>
              <w:t>。</w:t>
            </w:r>
            <w:r>
              <w:rPr>
                <w:rFonts w:ascii="仿宋_GB2312" w:hAnsi="仿宋_GB2312" w:eastAsia="仿宋_GB2312" w:cs="仿宋_GB2312"/>
                <w:b w:val="0"/>
                <w:sz w:val="24"/>
                <w:szCs w:val="24"/>
                <w:u w:val="none"/>
              </w:rPr>
              <w:br w:type="textWrapping"/>
            </w:r>
            <w:r>
              <w:rPr>
                <w:rFonts w:hint="eastAsia" w:ascii="仿宋_GB2312" w:hAnsi="仿宋_GB2312" w:cs="仿宋_GB2312"/>
                <w:b w:val="0"/>
                <w:sz w:val="24"/>
                <w:szCs w:val="24"/>
                <w:u w:val="none"/>
                <w:lang w:val="en-US" w:eastAsia="zh-CN"/>
              </w:rPr>
              <w:t xml:space="preserve">  </w:t>
            </w:r>
            <w:r>
              <w:rPr>
                <w:rFonts w:ascii="仿宋_GB2312" w:hAnsi="仿宋_GB2312" w:eastAsia="仿宋_GB2312" w:cs="仿宋_GB2312"/>
                <w:b w:val="0"/>
                <w:bCs w:val="0"/>
                <w:color w:val="000000"/>
                <w:sz w:val="24"/>
                <w:szCs w:val="24"/>
                <w:u w:val="none"/>
              </w:rPr>
              <w:t>3.海拉码视觉定位与体表呼吸运动检测。实现关键部件高精度定位，开展非接触呼吸监测与DIBH反馈，支撑精准摆位与运动管理。</w:t>
            </w:r>
            <w:r>
              <w:rPr>
                <w:rFonts w:ascii="仿宋_GB2312" w:hAnsi="仿宋_GB2312" w:eastAsia="仿宋_GB2312" w:cs="仿宋_GB2312"/>
                <w:b w:val="0"/>
                <w:sz w:val="24"/>
                <w:szCs w:val="24"/>
                <w:u w:val="none"/>
              </w:rPr>
              <w:br w:type="textWrapping"/>
            </w:r>
            <w:r>
              <w:rPr>
                <w:rFonts w:hint="eastAsia" w:ascii="仿宋_GB2312" w:hAnsi="仿宋_GB2312" w:cs="仿宋_GB2312"/>
                <w:b w:val="0"/>
                <w:sz w:val="24"/>
                <w:szCs w:val="24"/>
                <w:u w:val="none"/>
                <w:lang w:val="en-US" w:eastAsia="zh-CN"/>
              </w:rPr>
              <w:t xml:space="preserve">  </w:t>
            </w:r>
            <w:r>
              <w:rPr>
                <w:rFonts w:ascii="仿宋_GB2312" w:hAnsi="仿宋_GB2312" w:eastAsia="仿宋_GB2312" w:cs="仿宋_GB2312"/>
                <w:b w:val="0"/>
                <w:bCs w:val="0"/>
                <w:color w:val="000000"/>
                <w:sz w:val="24"/>
                <w:szCs w:val="24"/>
                <w:u w:val="none"/>
              </w:rPr>
              <w:t>4.瞬发伽玛在线剂量验证。针对束流射程、位置偏差，实现可视化监测与实时剂量反馈。</w:t>
            </w:r>
            <w:r>
              <w:rPr>
                <w:rFonts w:ascii="仿宋_GB2312" w:hAnsi="仿宋_GB2312" w:eastAsia="仿宋_GB2312" w:cs="仿宋_GB2312"/>
                <w:b w:val="0"/>
                <w:sz w:val="24"/>
                <w:szCs w:val="24"/>
                <w:u w:val="none"/>
              </w:rPr>
              <w:br w:type="textWrapping"/>
            </w:r>
            <w:r>
              <w:rPr>
                <w:rFonts w:hint="eastAsia" w:ascii="仿宋_GB2312" w:hAnsi="仿宋_GB2312" w:cs="仿宋_GB2312"/>
                <w:b w:val="0"/>
                <w:sz w:val="24"/>
                <w:szCs w:val="24"/>
                <w:u w:val="none"/>
                <w:lang w:val="en-US" w:eastAsia="zh-CN"/>
              </w:rPr>
              <w:t xml:space="preserve">  </w:t>
            </w:r>
            <w:r>
              <w:rPr>
                <w:rFonts w:ascii="仿宋_GB2312" w:hAnsi="仿宋_GB2312" w:eastAsia="仿宋_GB2312" w:cs="仿宋_GB2312"/>
                <w:b w:val="0"/>
                <w:bCs w:val="0"/>
                <w:color w:val="000000"/>
                <w:sz w:val="24"/>
                <w:szCs w:val="24"/>
                <w:u w:val="none"/>
              </w:rPr>
              <w:t>5.粒子束递送协同与运动管理。面向头颈、胸腹、盆腔肿瘤，建立定位—确认—监测—递送流程，降低分次间运动误差。</w:t>
            </w:r>
            <w:r>
              <w:rPr>
                <w:rFonts w:ascii="仿宋_GB2312" w:hAnsi="仿宋_GB2312" w:eastAsia="仿宋_GB2312" w:cs="仿宋_GB2312"/>
                <w:b w:val="0"/>
                <w:sz w:val="24"/>
                <w:szCs w:val="24"/>
                <w:u w:val="none"/>
              </w:rPr>
              <w:br w:type="textWrapping"/>
            </w:r>
            <w:r>
              <w:rPr>
                <w:rFonts w:hint="eastAsia" w:ascii="仿宋_GB2312" w:hAnsi="仿宋_GB2312" w:cs="仿宋_GB2312"/>
                <w:b w:val="0"/>
                <w:sz w:val="24"/>
                <w:szCs w:val="24"/>
                <w:u w:val="none"/>
                <w:lang w:val="en-US" w:eastAsia="zh-CN"/>
              </w:rPr>
              <w:t xml:space="preserve">  </w:t>
            </w:r>
            <w:r>
              <w:rPr>
                <w:rFonts w:ascii="仿宋_GB2312" w:hAnsi="仿宋_GB2312" w:eastAsia="仿宋_GB2312" w:cs="仿宋_GB2312"/>
                <w:b w:val="0"/>
                <w:bCs w:val="0"/>
                <w:color w:val="000000"/>
                <w:sz w:val="24"/>
                <w:szCs w:val="24"/>
                <w:u w:val="none"/>
              </w:rPr>
              <w:t>6.计划验证、QA体系与临床规范化应用。建立端到端QA流程，围绕2—3个适应证开展临床前验证，制定临床路径与质控规范。</w:t>
            </w:r>
          </w:p>
          <w:p w14:paraId="175A80E6">
            <w:pPr>
              <w:pStyle w:val="17"/>
              <w:keepNext w:val="0"/>
              <w:keepLines w:val="0"/>
              <w:pageBreakBefore w:val="0"/>
              <w:kinsoku/>
              <w:wordWrap/>
              <w:overflowPunct/>
              <w:topLinePunct w:val="0"/>
              <w:autoSpaceDE/>
              <w:autoSpaceDN/>
              <w:bidi w:val="0"/>
              <w:adjustRightInd/>
              <w:snapToGrid w:val="0"/>
              <w:spacing w:line="400" w:lineRule="exact"/>
              <w:ind w:firstLine="514" w:firstLineChars="200"/>
              <w:textAlignment w:val="auto"/>
              <w:rPr>
                <w:rFonts w:ascii="仿宋_GB2312" w:hAnsi="仿宋_GB2312" w:eastAsia="仿宋_GB2312" w:cs="仿宋_GB2312"/>
                <w:b/>
                <w:bCs/>
                <w:kern w:val="2"/>
                <w:sz w:val="24"/>
                <w:szCs w:val="24"/>
                <w:u w:val="none"/>
                <w:lang w:val="en-US" w:eastAsia="zh-CN"/>
              </w:rPr>
            </w:pPr>
            <w:r>
              <w:rPr>
                <w:rFonts w:ascii="仿宋_GB2312" w:hAnsi="仿宋_GB2312" w:eastAsia="仿宋_GB2312" w:cs="仿宋_GB2312"/>
                <w:b/>
                <w:bCs/>
                <w:color w:val="000000"/>
                <w:sz w:val="24"/>
                <w:szCs w:val="24"/>
                <w:u w:val="none"/>
              </w:rPr>
              <w:t>二、预期指标：</w:t>
            </w:r>
          </w:p>
          <w:p w14:paraId="278C3699">
            <w:pPr>
              <w:pStyle w:val="17"/>
              <w:keepNext w:val="0"/>
              <w:keepLines w:val="0"/>
              <w:pageBreakBefore w:val="0"/>
              <w:kinsoku/>
              <w:wordWrap/>
              <w:overflowPunct/>
              <w:topLinePunct w:val="0"/>
              <w:autoSpaceDE/>
              <w:autoSpaceDN/>
              <w:bidi w:val="0"/>
              <w:adjustRightInd/>
              <w:snapToGrid w:val="0"/>
              <w:spacing w:line="400" w:lineRule="exact"/>
              <w:ind w:firstLine="514" w:firstLineChars="200"/>
              <w:textAlignment w:val="auto"/>
              <w:rPr>
                <w:rFonts w:ascii="宋体;汉仪书宋二KW" w:hAnsi="宋体;汉仪书宋二KW" w:eastAsia="宋体;汉仪书宋二KW" w:cs="宋体;汉仪书宋二KW"/>
                <w:b w:val="0"/>
                <w:color w:val="000000"/>
                <w:sz w:val="24"/>
                <w:szCs w:val="24"/>
                <w:u w:val="none"/>
                <w:lang w:val="en-US" w:eastAsia="zh-CN"/>
              </w:rPr>
            </w:pPr>
            <w:r>
              <w:rPr>
                <w:rFonts w:ascii="仿宋_GB2312" w:hAnsi="仿宋_GB2312" w:eastAsia="仿宋_GB2312" w:cs="仿宋_GB2312"/>
                <w:b w:val="0"/>
                <w:bCs w:val="0"/>
                <w:color w:val="000000"/>
                <w:sz w:val="24"/>
                <w:szCs w:val="24"/>
                <w:u w:val="none"/>
              </w:rPr>
              <w:t>1</w:t>
            </w:r>
            <w:r>
              <w:rPr>
                <w:rFonts w:hint="eastAsia" w:ascii="仿宋_GB2312" w:hAnsi="仿宋_GB2312" w:cs="仿宋_GB2312"/>
                <w:b w:val="0"/>
                <w:bCs w:val="0"/>
                <w:color w:val="000000"/>
                <w:sz w:val="24"/>
                <w:szCs w:val="24"/>
                <w:u w:val="none"/>
                <w:lang w:val="en-US" w:eastAsia="zh-CN"/>
              </w:rPr>
              <w:t>.</w:t>
            </w:r>
            <w:r>
              <w:rPr>
                <w:rFonts w:ascii="仿宋_GB2312" w:hAnsi="仿宋_GB2312" w:eastAsia="仿宋_GB2312" w:cs="仿宋_GB2312"/>
                <w:b w:val="0"/>
                <w:bCs w:val="0"/>
                <w:color w:val="000000"/>
                <w:sz w:val="24"/>
                <w:szCs w:val="24"/>
                <w:u w:val="none"/>
              </w:rPr>
              <w:t>建成全流程治疗系统1套，完成联调与集成验证；</w:t>
            </w:r>
          </w:p>
          <w:p w14:paraId="2144459A">
            <w:pPr>
              <w:pStyle w:val="17"/>
              <w:keepNext w:val="0"/>
              <w:keepLines w:val="0"/>
              <w:pageBreakBefore w:val="0"/>
              <w:kinsoku/>
              <w:wordWrap/>
              <w:overflowPunct/>
              <w:topLinePunct w:val="0"/>
              <w:autoSpaceDE/>
              <w:autoSpaceDN/>
              <w:bidi w:val="0"/>
              <w:adjustRightInd/>
              <w:snapToGrid w:val="0"/>
              <w:spacing w:line="400" w:lineRule="exact"/>
              <w:ind w:firstLine="514" w:firstLineChars="200"/>
              <w:textAlignment w:val="auto"/>
              <w:rPr>
                <w:rFonts w:ascii="宋体;汉仪书宋二KW" w:hAnsi="宋体;汉仪书宋二KW" w:eastAsia="宋体;汉仪书宋二KW" w:cs="宋体;汉仪书宋二KW"/>
                <w:b w:val="0"/>
                <w:color w:val="000000"/>
                <w:sz w:val="24"/>
                <w:szCs w:val="24"/>
                <w:u w:val="none"/>
                <w:lang w:val="en-US" w:eastAsia="zh-CN"/>
              </w:rPr>
            </w:pPr>
            <w:r>
              <w:rPr>
                <w:rFonts w:ascii="仿宋_GB2312" w:hAnsi="仿宋_GB2312" w:eastAsia="仿宋_GB2312" w:cs="仿宋_GB2312"/>
                <w:b w:val="0"/>
                <w:bCs w:val="0"/>
                <w:color w:val="000000"/>
                <w:sz w:val="24"/>
                <w:szCs w:val="24"/>
                <w:u w:val="none"/>
              </w:rPr>
              <w:t>2</w:t>
            </w:r>
            <w:r>
              <w:rPr>
                <w:rFonts w:hint="eastAsia" w:ascii="仿宋_GB2312" w:hAnsi="仿宋_GB2312" w:cs="仿宋_GB2312"/>
                <w:b w:val="0"/>
                <w:bCs w:val="0"/>
                <w:color w:val="000000"/>
                <w:sz w:val="24"/>
                <w:szCs w:val="24"/>
                <w:u w:val="none"/>
                <w:lang w:val="en-US" w:eastAsia="zh-CN"/>
              </w:rPr>
              <w:t>.</w:t>
            </w:r>
            <w:r>
              <w:rPr>
                <w:rFonts w:ascii="仿宋_GB2312" w:hAnsi="仿宋_GB2312" w:eastAsia="仿宋_GB2312" w:cs="仿宋_GB2312"/>
                <w:b w:val="0"/>
                <w:bCs w:val="0"/>
                <w:color w:val="000000"/>
                <w:sz w:val="24"/>
                <w:szCs w:val="24"/>
                <w:u w:val="none"/>
              </w:rPr>
              <w:t>自适应</w:t>
            </w:r>
            <w:r>
              <w:rPr>
                <w:rFonts w:hint="eastAsia" w:ascii="仿宋_GB2312" w:hAnsi="仿宋_GB2312" w:eastAsia="仿宋_GB2312" w:cs="仿宋_GB2312"/>
                <w:b w:val="0"/>
                <w:bCs w:val="0"/>
                <w:color w:val="000000"/>
                <w:sz w:val="24"/>
                <w:szCs w:val="24"/>
                <w:u w:val="none"/>
                <w:lang w:eastAsia="zh-CN"/>
              </w:rPr>
              <w:t>治疗计划系统（</w:t>
            </w:r>
            <w:r>
              <w:rPr>
                <w:rFonts w:ascii="仿宋_GB2312" w:hAnsi="仿宋_GB2312" w:eastAsia="仿宋_GB2312" w:cs="仿宋_GB2312"/>
                <w:b w:val="0"/>
                <w:bCs w:val="0"/>
                <w:color w:val="000000"/>
                <w:sz w:val="24"/>
                <w:szCs w:val="24"/>
                <w:u w:val="none"/>
              </w:rPr>
              <w:t>TPS</w:t>
            </w:r>
            <w:r>
              <w:rPr>
                <w:rFonts w:hint="eastAsia" w:ascii="仿宋_GB2312" w:hAnsi="仿宋_GB2312" w:eastAsia="仿宋_GB2312" w:cs="仿宋_GB2312"/>
                <w:b w:val="0"/>
                <w:bCs w:val="0"/>
                <w:color w:val="000000"/>
                <w:sz w:val="24"/>
                <w:szCs w:val="24"/>
                <w:u w:val="none"/>
                <w:lang w:eastAsia="zh-CN"/>
              </w:rPr>
              <w:t>）</w:t>
            </w:r>
            <w:r>
              <w:rPr>
                <w:rFonts w:ascii="仿宋_GB2312" w:hAnsi="仿宋_GB2312" w:eastAsia="仿宋_GB2312" w:cs="仿宋_GB2312"/>
                <w:b w:val="0"/>
                <w:bCs w:val="0"/>
                <w:color w:val="000000"/>
                <w:sz w:val="24"/>
                <w:szCs w:val="24"/>
                <w:u w:val="none"/>
              </w:rPr>
              <w:t>1套，配准精度≤1mm，剂量误差≤2%，自动勾画</w:t>
            </w:r>
            <w:r>
              <w:rPr>
                <w:rFonts w:hint="eastAsia" w:ascii="仿宋_GB2312" w:hAnsi="仿宋_GB2312" w:eastAsia="仿宋_GB2312" w:cs="仿宋_GB2312"/>
                <w:b w:val="0"/>
                <w:bCs w:val="0"/>
                <w:color w:val="000000"/>
                <w:sz w:val="24"/>
                <w:szCs w:val="24"/>
                <w:u w:val="none"/>
                <w:lang w:eastAsia="zh-CN"/>
              </w:rPr>
              <w:t>（</w:t>
            </w:r>
            <w:r>
              <w:rPr>
                <w:rFonts w:ascii="仿宋_GB2312" w:hAnsi="仿宋_GB2312" w:eastAsia="仿宋_GB2312" w:cs="仿宋_GB2312"/>
                <w:b w:val="0"/>
                <w:bCs w:val="0"/>
                <w:color w:val="000000"/>
                <w:sz w:val="24"/>
                <w:szCs w:val="24"/>
                <w:u w:val="none"/>
              </w:rPr>
              <w:t>Dice≥0.90</w:t>
            </w:r>
            <w:r>
              <w:rPr>
                <w:rFonts w:hint="eastAsia" w:ascii="仿宋_GB2312" w:hAnsi="仿宋_GB2312" w:eastAsia="仿宋_GB2312" w:cs="仿宋_GB2312"/>
                <w:b w:val="0"/>
                <w:bCs w:val="0"/>
                <w:color w:val="000000"/>
                <w:sz w:val="24"/>
                <w:szCs w:val="24"/>
                <w:u w:val="none"/>
                <w:lang w:eastAsia="zh-CN"/>
              </w:rPr>
              <w:t>）</w:t>
            </w:r>
            <w:r>
              <w:rPr>
                <w:rFonts w:ascii="仿宋_GB2312" w:hAnsi="仿宋_GB2312" w:eastAsia="仿宋_GB2312" w:cs="仿宋_GB2312"/>
                <w:b w:val="0"/>
                <w:bCs w:val="0"/>
                <w:color w:val="000000"/>
                <w:sz w:val="24"/>
                <w:szCs w:val="24"/>
                <w:u w:val="none"/>
              </w:rPr>
              <w:t>、勾画≤30秒，自适应计划≤10分钟，3Dgamma</w:t>
            </w:r>
            <w:r>
              <w:rPr>
                <w:rFonts w:hint="eastAsia" w:ascii="仿宋_GB2312" w:hAnsi="仿宋_GB2312" w:eastAsia="仿宋_GB2312" w:cs="仿宋_GB2312"/>
                <w:b w:val="0"/>
                <w:bCs w:val="0"/>
                <w:color w:val="000000"/>
                <w:sz w:val="24"/>
                <w:szCs w:val="24"/>
                <w:u w:val="none"/>
                <w:lang w:eastAsia="zh-CN"/>
              </w:rPr>
              <w:t>验证</w:t>
            </w:r>
            <w:r>
              <w:rPr>
                <w:rFonts w:ascii="仿宋_GB2312" w:hAnsi="仿宋_GB2312" w:eastAsia="仿宋_GB2312" w:cs="仿宋_GB2312"/>
                <w:b w:val="0"/>
                <w:bCs w:val="0"/>
                <w:color w:val="000000"/>
                <w:sz w:val="24"/>
                <w:szCs w:val="24"/>
                <w:u w:val="none"/>
              </w:rPr>
              <w:t>通过率≥95%（2%/2mm）；</w:t>
            </w:r>
          </w:p>
          <w:p w14:paraId="354A3FAB">
            <w:pPr>
              <w:pStyle w:val="17"/>
              <w:keepNext w:val="0"/>
              <w:keepLines w:val="0"/>
              <w:pageBreakBefore w:val="0"/>
              <w:kinsoku/>
              <w:wordWrap/>
              <w:overflowPunct/>
              <w:topLinePunct w:val="0"/>
              <w:autoSpaceDE/>
              <w:autoSpaceDN/>
              <w:bidi w:val="0"/>
              <w:adjustRightInd/>
              <w:snapToGrid w:val="0"/>
              <w:spacing w:line="400" w:lineRule="exact"/>
              <w:ind w:firstLine="514" w:firstLineChars="200"/>
              <w:textAlignment w:val="auto"/>
              <w:rPr>
                <w:rFonts w:ascii="仿宋_GB2312" w:hAnsi="仿宋_GB2312" w:eastAsia="仿宋_GB2312" w:cs="仿宋_GB2312"/>
                <w:b w:val="0"/>
                <w:bCs w:val="0"/>
                <w:color w:val="000000"/>
                <w:sz w:val="24"/>
                <w:szCs w:val="24"/>
                <w:u w:val="none"/>
              </w:rPr>
            </w:pPr>
            <w:r>
              <w:rPr>
                <w:rFonts w:ascii="仿宋_GB2312" w:hAnsi="仿宋_GB2312" w:eastAsia="仿宋_GB2312" w:cs="仿宋_GB2312"/>
                <w:b w:val="0"/>
                <w:bCs w:val="0"/>
                <w:color w:val="000000"/>
                <w:sz w:val="24"/>
                <w:szCs w:val="24"/>
                <w:u w:val="none"/>
              </w:rPr>
              <w:t>3</w:t>
            </w:r>
            <w:r>
              <w:rPr>
                <w:rFonts w:hint="eastAsia" w:ascii="仿宋_GB2312" w:hAnsi="仿宋_GB2312" w:cs="仿宋_GB2312"/>
                <w:b w:val="0"/>
                <w:bCs w:val="0"/>
                <w:color w:val="000000"/>
                <w:sz w:val="24"/>
                <w:szCs w:val="24"/>
                <w:u w:val="none"/>
                <w:lang w:val="en-US" w:eastAsia="zh-CN"/>
              </w:rPr>
              <w:t>.</w:t>
            </w:r>
            <w:r>
              <w:rPr>
                <w:rFonts w:ascii="仿宋_GB2312" w:hAnsi="仿宋_GB2312" w:eastAsia="仿宋_GB2312" w:cs="仿宋_GB2312"/>
                <w:b w:val="0"/>
                <w:bCs w:val="0"/>
                <w:color w:val="000000"/>
                <w:sz w:val="24"/>
                <w:szCs w:val="24"/>
                <w:u w:val="none"/>
              </w:rPr>
              <w:t>海拉码视觉定位与体表呼吸检测系统1套，空间定位≤0.5mm、重复定位≤0.3mm，呼吸采样率≥20Hz，支持DIBH引导；</w:t>
            </w:r>
          </w:p>
          <w:p w14:paraId="4CA3C0B2">
            <w:pPr>
              <w:pStyle w:val="17"/>
              <w:keepNext w:val="0"/>
              <w:keepLines w:val="0"/>
              <w:pageBreakBefore w:val="0"/>
              <w:kinsoku/>
              <w:wordWrap/>
              <w:overflowPunct/>
              <w:topLinePunct w:val="0"/>
              <w:autoSpaceDE/>
              <w:autoSpaceDN/>
              <w:bidi w:val="0"/>
              <w:adjustRightInd/>
              <w:snapToGrid w:val="0"/>
              <w:spacing w:line="400" w:lineRule="exact"/>
              <w:ind w:firstLine="514" w:firstLineChars="200"/>
              <w:textAlignment w:val="auto"/>
              <w:rPr>
                <w:rFonts w:ascii="宋体;汉仪书宋二KW" w:hAnsi="宋体;汉仪书宋二KW" w:eastAsia="宋体;汉仪书宋二KW" w:cs="宋体;汉仪书宋二KW"/>
                <w:b w:val="0"/>
                <w:color w:val="000000"/>
                <w:sz w:val="24"/>
                <w:szCs w:val="24"/>
                <w:u w:val="none"/>
                <w:lang w:val="en-US" w:eastAsia="zh-CN"/>
              </w:rPr>
            </w:pPr>
            <w:r>
              <w:rPr>
                <w:rFonts w:ascii="仿宋_GB2312" w:hAnsi="仿宋_GB2312" w:eastAsia="仿宋_GB2312" w:cs="仿宋_GB2312"/>
                <w:b w:val="0"/>
                <w:bCs w:val="0"/>
                <w:color w:val="000000"/>
                <w:sz w:val="24"/>
                <w:szCs w:val="24"/>
                <w:u w:val="none"/>
              </w:rPr>
              <w:t>4</w:t>
            </w:r>
            <w:r>
              <w:rPr>
                <w:rFonts w:hint="eastAsia" w:ascii="仿宋_GB2312" w:hAnsi="仿宋_GB2312" w:cs="仿宋_GB2312"/>
                <w:b w:val="0"/>
                <w:bCs w:val="0"/>
                <w:color w:val="000000"/>
                <w:sz w:val="24"/>
                <w:szCs w:val="24"/>
                <w:u w:val="none"/>
                <w:lang w:val="en-US" w:eastAsia="zh-CN"/>
              </w:rPr>
              <w:t>.</w:t>
            </w:r>
            <w:r>
              <w:rPr>
                <w:rFonts w:ascii="仿宋_GB2312" w:hAnsi="仿宋_GB2312" w:eastAsia="仿宋_GB2312" w:cs="仿宋_GB2312"/>
                <w:b w:val="0"/>
                <w:bCs w:val="0"/>
                <w:color w:val="000000"/>
                <w:sz w:val="24"/>
                <w:szCs w:val="24"/>
                <w:u w:val="none"/>
              </w:rPr>
              <w:t>瞬发伽玛在线剂量验证系统1套，支持PBS，空间分辨率≥2mm、探测效率≥0.3%、射程监测精度≤</w:t>
            </w:r>
            <w:r>
              <w:rPr>
                <w:rFonts w:hint="eastAsia" w:ascii="仿宋_GB2312" w:hAnsi="仿宋_GB2312" w:eastAsia="仿宋_GB2312" w:cs="仿宋_GB2312"/>
                <w:b w:val="0"/>
                <w:bCs w:val="0"/>
                <w:color w:val="000000"/>
                <w:sz w:val="24"/>
                <w:szCs w:val="24"/>
                <w:u w:val="none"/>
                <w:lang w:val="en-US" w:eastAsia="zh-CN"/>
              </w:rPr>
              <w:t>2</w:t>
            </w:r>
            <w:r>
              <w:rPr>
                <w:rFonts w:ascii="仿宋_GB2312" w:hAnsi="仿宋_GB2312" w:eastAsia="仿宋_GB2312" w:cs="仿宋_GB2312"/>
                <w:b w:val="0"/>
                <w:bCs w:val="0"/>
                <w:color w:val="000000"/>
                <w:sz w:val="24"/>
                <w:szCs w:val="24"/>
                <w:u w:val="none"/>
              </w:rPr>
              <w:t>mm</w:t>
            </w:r>
            <w:r>
              <w:rPr>
                <w:rFonts w:hint="eastAsia" w:ascii="仿宋_GB2312" w:hAnsi="仿宋_GB2312" w:eastAsia="仿宋_GB2312" w:cs="仿宋_GB2312"/>
                <w:b w:val="0"/>
                <w:bCs w:val="0"/>
                <w:color w:val="000000"/>
                <w:sz w:val="24"/>
                <w:szCs w:val="24"/>
                <w:u w:val="none"/>
                <w:lang w:eastAsia="zh-CN"/>
              </w:rPr>
              <w:t>（</w:t>
            </w:r>
            <w:r>
              <w:rPr>
                <w:rFonts w:hint="eastAsia" w:ascii="仿宋_GB2312" w:hAnsi="仿宋_GB2312" w:eastAsia="仿宋_GB2312" w:cs="仿宋_GB2312"/>
                <w:b w:val="0"/>
                <w:bCs w:val="0"/>
                <w:color w:val="000000"/>
                <w:sz w:val="24"/>
                <w:szCs w:val="24"/>
                <w:u w:val="none"/>
                <w:lang w:val="en-US" w:eastAsia="zh-CN"/>
              </w:rPr>
              <w:t>射程方向），</w:t>
            </w:r>
            <w:r>
              <w:rPr>
                <w:rFonts w:ascii="仿宋_GB2312" w:hAnsi="仿宋_GB2312" w:eastAsia="仿宋_GB2312" w:cs="仿宋_GB2312"/>
                <w:b w:val="0"/>
                <w:bCs w:val="0"/>
                <w:color w:val="000000"/>
                <w:sz w:val="24"/>
                <w:szCs w:val="24"/>
                <w:u w:val="none"/>
              </w:rPr>
              <w:t>≤</w:t>
            </w:r>
            <w:r>
              <w:rPr>
                <w:rFonts w:hint="eastAsia" w:ascii="仿宋_GB2312" w:hAnsi="仿宋_GB2312" w:eastAsia="仿宋_GB2312" w:cs="仿宋_GB2312"/>
                <w:b w:val="0"/>
                <w:bCs w:val="0"/>
                <w:color w:val="000000"/>
                <w:sz w:val="24"/>
                <w:szCs w:val="24"/>
                <w:u w:val="none"/>
                <w:lang w:val="en-US" w:eastAsia="zh-CN"/>
              </w:rPr>
              <w:t>2</w:t>
            </w:r>
            <w:r>
              <w:rPr>
                <w:rFonts w:ascii="仿宋_GB2312" w:hAnsi="仿宋_GB2312" w:eastAsia="仿宋_GB2312" w:cs="仿宋_GB2312"/>
                <w:b w:val="0"/>
                <w:bCs w:val="0"/>
                <w:color w:val="000000"/>
                <w:sz w:val="24"/>
                <w:szCs w:val="24"/>
                <w:u w:val="none"/>
              </w:rPr>
              <w:t>mm</w:t>
            </w:r>
            <w:r>
              <w:rPr>
                <w:rFonts w:hint="eastAsia" w:ascii="仿宋_GB2312" w:hAnsi="仿宋_GB2312" w:eastAsia="仿宋_GB2312" w:cs="仿宋_GB2312"/>
                <w:b w:val="0"/>
                <w:bCs w:val="0"/>
                <w:color w:val="000000"/>
                <w:sz w:val="24"/>
                <w:szCs w:val="24"/>
                <w:u w:val="none"/>
                <w:lang w:eastAsia="zh-CN"/>
              </w:rPr>
              <w:t>（</w:t>
            </w:r>
            <w:r>
              <w:rPr>
                <w:rFonts w:hint="eastAsia" w:ascii="仿宋_GB2312" w:hAnsi="仿宋_GB2312" w:eastAsia="仿宋_GB2312" w:cs="仿宋_GB2312"/>
                <w:b w:val="0"/>
                <w:bCs w:val="0"/>
                <w:color w:val="000000"/>
                <w:sz w:val="24"/>
                <w:szCs w:val="24"/>
                <w:u w:val="none"/>
                <w:lang w:val="en-US" w:eastAsia="zh-CN"/>
              </w:rPr>
              <w:t>垂直于射程的方向）</w:t>
            </w:r>
            <w:r>
              <w:rPr>
                <w:rFonts w:ascii="仿宋_GB2312" w:hAnsi="仿宋_GB2312" w:eastAsia="仿宋_GB2312" w:cs="仿宋_GB2312"/>
                <w:b w:val="0"/>
                <w:bCs w:val="0"/>
                <w:color w:val="000000"/>
                <w:sz w:val="24"/>
                <w:szCs w:val="24"/>
                <w:u w:val="none"/>
              </w:rPr>
              <w:t>；</w:t>
            </w:r>
          </w:p>
          <w:p w14:paraId="5A829A43">
            <w:pPr>
              <w:pStyle w:val="17"/>
              <w:keepNext w:val="0"/>
              <w:keepLines w:val="0"/>
              <w:pageBreakBefore w:val="0"/>
              <w:kinsoku/>
              <w:wordWrap/>
              <w:overflowPunct/>
              <w:topLinePunct w:val="0"/>
              <w:autoSpaceDE/>
              <w:autoSpaceDN/>
              <w:bidi w:val="0"/>
              <w:adjustRightInd/>
              <w:snapToGrid w:val="0"/>
              <w:spacing w:line="400" w:lineRule="exact"/>
              <w:ind w:firstLine="514" w:firstLineChars="200"/>
              <w:textAlignment w:val="auto"/>
              <w:rPr>
                <w:rFonts w:ascii="宋体;汉仪书宋二KW" w:hAnsi="宋体;汉仪书宋二KW" w:eastAsia="宋体;汉仪书宋二KW" w:cs="宋体;汉仪书宋二KW"/>
                <w:b w:val="0"/>
                <w:color w:val="000000"/>
                <w:sz w:val="24"/>
                <w:szCs w:val="24"/>
                <w:u w:val="none"/>
                <w:lang w:val="en-US" w:eastAsia="zh-CN"/>
              </w:rPr>
            </w:pPr>
            <w:r>
              <w:rPr>
                <w:rFonts w:ascii="仿宋_GB2312" w:hAnsi="仿宋_GB2312" w:eastAsia="仿宋_GB2312" w:cs="仿宋_GB2312"/>
                <w:b w:val="0"/>
                <w:bCs w:val="0"/>
                <w:color w:val="000000"/>
                <w:sz w:val="24"/>
                <w:szCs w:val="24"/>
                <w:u w:val="none"/>
              </w:rPr>
              <w:t>5</w:t>
            </w:r>
            <w:r>
              <w:rPr>
                <w:rFonts w:hint="eastAsia" w:ascii="仿宋_GB2312" w:hAnsi="仿宋_GB2312" w:cs="仿宋_GB2312"/>
                <w:b w:val="0"/>
                <w:bCs w:val="0"/>
                <w:color w:val="000000"/>
                <w:sz w:val="24"/>
                <w:szCs w:val="24"/>
                <w:u w:val="none"/>
                <w:lang w:val="en-US" w:eastAsia="zh-CN"/>
              </w:rPr>
              <w:t>.</w:t>
            </w:r>
            <w:r>
              <w:rPr>
                <w:rFonts w:ascii="仿宋_GB2312" w:hAnsi="仿宋_GB2312" w:eastAsia="仿宋_GB2312" w:cs="仿宋_GB2312"/>
                <w:b w:val="0"/>
                <w:bCs w:val="0"/>
                <w:color w:val="000000"/>
                <w:sz w:val="24"/>
                <w:szCs w:val="24"/>
                <w:u w:val="none"/>
              </w:rPr>
              <w:t>建立端到端QA流程，完成≥2个适应证临床前验证及安全有效性评价，形成注册申报资料框架；</w:t>
            </w:r>
          </w:p>
          <w:p w14:paraId="5B1F8967">
            <w:pPr>
              <w:pStyle w:val="17"/>
              <w:keepNext w:val="0"/>
              <w:keepLines w:val="0"/>
              <w:pageBreakBefore w:val="0"/>
              <w:kinsoku/>
              <w:wordWrap/>
              <w:overflowPunct/>
              <w:topLinePunct w:val="0"/>
              <w:autoSpaceDE/>
              <w:autoSpaceDN/>
              <w:bidi w:val="0"/>
              <w:adjustRightInd/>
              <w:snapToGrid w:val="0"/>
              <w:spacing w:line="400" w:lineRule="exact"/>
              <w:ind w:firstLine="514" w:firstLineChars="200"/>
              <w:textAlignment w:val="auto"/>
              <w:rPr>
                <w:rFonts w:ascii="宋体;汉仪书宋二KW" w:hAnsi="宋体;汉仪书宋二KW" w:eastAsia="宋体;汉仪书宋二KW" w:cs="宋体;汉仪书宋二KW"/>
                <w:b w:val="0"/>
                <w:color w:val="000000"/>
                <w:sz w:val="24"/>
                <w:szCs w:val="24"/>
                <w:u w:val="none"/>
                <w:lang w:val="en-US" w:eastAsia="zh-CN"/>
              </w:rPr>
            </w:pPr>
            <w:r>
              <w:rPr>
                <w:rFonts w:ascii="仿宋_GB2312" w:hAnsi="仿宋_GB2312" w:eastAsia="仿宋_GB2312" w:cs="仿宋_GB2312"/>
                <w:b w:val="0"/>
                <w:bCs w:val="0"/>
                <w:color w:val="000000"/>
                <w:sz w:val="24"/>
                <w:szCs w:val="24"/>
                <w:u w:val="none"/>
              </w:rPr>
              <w:t>6</w:t>
            </w:r>
            <w:r>
              <w:rPr>
                <w:rFonts w:hint="eastAsia" w:ascii="仿宋_GB2312" w:hAnsi="仿宋_GB2312" w:cs="仿宋_GB2312"/>
                <w:b w:val="0"/>
                <w:bCs w:val="0"/>
                <w:color w:val="000000"/>
                <w:sz w:val="24"/>
                <w:szCs w:val="24"/>
                <w:u w:val="none"/>
                <w:lang w:val="en-US" w:eastAsia="zh-CN"/>
              </w:rPr>
              <w:t>.</w:t>
            </w:r>
            <w:r>
              <w:rPr>
                <w:rFonts w:ascii="仿宋_GB2312" w:hAnsi="仿宋_GB2312" w:eastAsia="仿宋_GB2312" w:cs="仿宋_GB2312"/>
                <w:b w:val="0"/>
                <w:bCs w:val="0"/>
                <w:color w:val="000000"/>
                <w:sz w:val="24"/>
                <w:szCs w:val="24"/>
                <w:u w:val="none"/>
              </w:rPr>
              <w:t>建成≥2个示范应用点，辐射带动3家</w:t>
            </w:r>
            <w:r>
              <w:rPr>
                <w:rFonts w:hint="eastAsia" w:ascii="仿宋_GB2312" w:hAnsi="仿宋_GB2312" w:eastAsia="仿宋_GB2312" w:cs="仿宋_GB2312"/>
                <w:b w:val="0"/>
                <w:bCs w:val="0"/>
                <w:color w:val="000000"/>
                <w:sz w:val="24"/>
                <w:szCs w:val="24"/>
                <w:u w:val="none"/>
                <w:lang w:val="en-US" w:eastAsia="zh-CN"/>
              </w:rPr>
              <w:t>以上</w:t>
            </w:r>
            <w:r>
              <w:rPr>
                <w:rFonts w:ascii="仿宋_GB2312" w:hAnsi="仿宋_GB2312" w:eastAsia="仿宋_GB2312" w:cs="仿宋_GB2312"/>
                <w:b w:val="0"/>
                <w:bCs w:val="0"/>
                <w:color w:val="000000"/>
                <w:sz w:val="24"/>
                <w:szCs w:val="24"/>
                <w:u w:val="none"/>
              </w:rPr>
              <w:t>医疗机构；</w:t>
            </w:r>
          </w:p>
          <w:p w14:paraId="54FEC690">
            <w:pPr>
              <w:pStyle w:val="17"/>
              <w:keepNext w:val="0"/>
              <w:keepLines w:val="0"/>
              <w:pageBreakBefore w:val="0"/>
              <w:kinsoku/>
              <w:wordWrap/>
              <w:overflowPunct/>
              <w:topLinePunct w:val="0"/>
              <w:autoSpaceDE/>
              <w:autoSpaceDN/>
              <w:bidi w:val="0"/>
              <w:adjustRightInd/>
              <w:snapToGrid w:val="0"/>
              <w:spacing w:line="400" w:lineRule="exact"/>
              <w:ind w:firstLine="514" w:firstLineChars="200"/>
              <w:textAlignment w:val="auto"/>
              <w:rPr>
                <w:rFonts w:ascii="宋体;汉仪书宋二KW" w:hAnsi="宋体;汉仪书宋二KW" w:eastAsia="宋体;汉仪书宋二KW" w:cs="宋体;汉仪书宋二KW"/>
                <w:b w:val="0"/>
                <w:color w:val="000000"/>
                <w:sz w:val="24"/>
                <w:szCs w:val="24"/>
                <w:u w:val="none"/>
                <w:lang w:val="en-US" w:eastAsia="zh-CN"/>
              </w:rPr>
            </w:pPr>
            <w:r>
              <w:rPr>
                <w:rFonts w:ascii="仿宋_GB2312" w:hAnsi="仿宋_GB2312" w:eastAsia="仿宋_GB2312" w:cs="仿宋_GB2312"/>
                <w:b w:val="0"/>
                <w:bCs w:val="0"/>
                <w:color w:val="000000"/>
                <w:sz w:val="24"/>
                <w:szCs w:val="24"/>
                <w:u w:val="none"/>
              </w:rPr>
              <w:t>7</w:t>
            </w:r>
            <w:r>
              <w:rPr>
                <w:rFonts w:hint="eastAsia" w:ascii="仿宋_GB2312" w:hAnsi="仿宋_GB2312" w:cs="仿宋_GB2312"/>
                <w:b w:val="0"/>
                <w:bCs w:val="0"/>
                <w:color w:val="000000"/>
                <w:sz w:val="24"/>
                <w:szCs w:val="24"/>
                <w:u w:val="none"/>
                <w:lang w:val="en-US" w:eastAsia="zh-CN"/>
              </w:rPr>
              <w:t>.</w:t>
            </w:r>
            <w:r>
              <w:rPr>
                <w:rFonts w:ascii="仿宋_GB2312" w:hAnsi="仿宋_GB2312" w:eastAsia="仿宋_GB2312" w:cs="仿宋_GB2312"/>
                <w:b w:val="0"/>
                <w:bCs w:val="0"/>
                <w:color w:val="000000"/>
                <w:sz w:val="24"/>
                <w:szCs w:val="24"/>
                <w:u w:val="none"/>
              </w:rPr>
              <w:t>申请发明专利≥5项、软件著作权≥5项、标准≥1项、论文≥3篇</w:t>
            </w:r>
            <w:r>
              <w:rPr>
                <w:rFonts w:hint="eastAsia" w:ascii="仿宋_GB2312" w:hAnsi="仿宋_GB2312" w:eastAsia="仿宋_GB2312" w:cs="仿宋_GB2312"/>
                <w:b w:val="0"/>
                <w:bCs w:val="0"/>
                <w:color w:val="000000"/>
                <w:sz w:val="24"/>
                <w:szCs w:val="24"/>
                <w:u w:val="none"/>
                <w:lang w:eastAsia="zh-CN"/>
              </w:rPr>
              <w:t>，</w:t>
            </w:r>
            <w:r>
              <w:rPr>
                <w:rFonts w:hint="eastAsia" w:ascii="仿宋_GB2312" w:hAnsi="仿宋_GB2312" w:eastAsia="仿宋_GB2312" w:cs="仿宋_GB2312"/>
                <w:b w:val="0"/>
                <w:bCs w:val="0"/>
                <w:color w:val="000000"/>
                <w:sz w:val="24"/>
                <w:szCs w:val="24"/>
                <w:u w:val="none"/>
                <w:lang w:val="en-US" w:eastAsia="zh-CN"/>
              </w:rPr>
              <w:t>培养硕士及博士</w:t>
            </w:r>
            <w:r>
              <w:rPr>
                <w:rFonts w:ascii="仿宋_GB2312" w:hAnsi="仿宋_GB2312" w:eastAsia="仿宋_GB2312" w:cs="仿宋_GB2312"/>
                <w:b w:val="0"/>
                <w:bCs w:val="0"/>
                <w:color w:val="000000"/>
                <w:sz w:val="24"/>
                <w:szCs w:val="24"/>
                <w:u w:val="none"/>
              </w:rPr>
              <w:t>≥</w:t>
            </w:r>
            <w:r>
              <w:rPr>
                <w:rFonts w:hint="eastAsia" w:ascii="仿宋_GB2312" w:hAnsi="仿宋_GB2312" w:eastAsia="仿宋_GB2312" w:cs="仿宋_GB2312"/>
                <w:b w:val="0"/>
                <w:bCs w:val="0"/>
                <w:color w:val="000000"/>
                <w:sz w:val="24"/>
                <w:szCs w:val="24"/>
                <w:u w:val="none"/>
                <w:lang w:val="en-US" w:eastAsia="zh-CN"/>
              </w:rPr>
              <w:t>5名</w:t>
            </w:r>
            <w:r>
              <w:rPr>
                <w:rFonts w:ascii="仿宋_GB2312" w:hAnsi="仿宋_GB2312" w:eastAsia="仿宋_GB2312" w:cs="仿宋_GB2312"/>
                <w:b w:val="0"/>
                <w:bCs w:val="0"/>
                <w:color w:val="000000"/>
                <w:sz w:val="24"/>
                <w:szCs w:val="24"/>
                <w:u w:val="none"/>
              </w:rPr>
              <w:t>；</w:t>
            </w:r>
          </w:p>
          <w:p w14:paraId="5B02E2F6">
            <w:pPr>
              <w:pStyle w:val="17"/>
              <w:keepNext w:val="0"/>
              <w:keepLines w:val="0"/>
              <w:pageBreakBefore w:val="0"/>
              <w:kinsoku/>
              <w:wordWrap/>
              <w:overflowPunct/>
              <w:topLinePunct w:val="0"/>
              <w:autoSpaceDE/>
              <w:autoSpaceDN/>
              <w:bidi w:val="0"/>
              <w:adjustRightInd/>
              <w:snapToGrid w:val="0"/>
              <w:spacing w:line="400" w:lineRule="exact"/>
              <w:ind w:firstLine="514" w:firstLineChars="200"/>
              <w:textAlignment w:val="auto"/>
              <w:rPr>
                <w:rFonts w:hint="eastAsia" w:ascii="宋体;汉仪书宋二KW" w:hAnsi="宋体;汉仪书宋二KW" w:eastAsia="仿宋_GB2312" w:cs="宋体;汉仪书宋二KW"/>
                <w:b w:val="0"/>
                <w:color w:val="000000"/>
                <w:sz w:val="24"/>
                <w:szCs w:val="24"/>
                <w:u w:val="none"/>
                <w:lang w:val="en-US" w:eastAsia="zh-CN"/>
              </w:rPr>
            </w:pPr>
            <w:r>
              <w:rPr>
                <w:rFonts w:ascii="仿宋_GB2312" w:hAnsi="仿宋_GB2312" w:eastAsia="仿宋_GB2312" w:cs="仿宋_GB2312"/>
                <w:b w:val="0"/>
                <w:bCs w:val="0"/>
                <w:color w:val="000000"/>
                <w:sz w:val="24"/>
                <w:szCs w:val="24"/>
                <w:u w:val="none"/>
              </w:rPr>
              <w:t>8</w:t>
            </w:r>
            <w:r>
              <w:rPr>
                <w:rFonts w:hint="eastAsia" w:ascii="仿宋_GB2312" w:hAnsi="仿宋_GB2312" w:cs="仿宋_GB2312"/>
                <w:b w:val="0"/>
                <w:bCs w:val="0"/>
                <w:color w:val="000000"/>
                <w:sz w:val="24"/>
                <w:szCs w:val="24"/>
                <w:u w:val="none"/>
                <w:lang w:val="en-US" w:eastAsia="zh-CN"/>
              </w:rPr>
              <w:t>.</w:t>
            </w:r>
            <w:r>
              <w:rPr>
                <w:rFonts w:ascii="仿宋_GB2312" w:hAnsi="仿宋_GB2312" w:eastAsia="仿宋_GB2312" w:cs="仿宋_GB2312"/>
                <w:b w:val="0"/>
                <w:bCs w:val="0"/>
                <w:color w:val="000000"/>
                <w:sz w:val="24"/>
                <w:szCs w:val="24"/>
                <w:u w:val="none"/>
              </w:rPr>
              <w:t>实施期内实现销售收入≥1500万元</w:t>
            </w:r>
            <w:r>
              <w:rPr>
                <w:rFonts w:hint="eastAsia" w:ascii="仿宋_GB2312" w:hAnsi="仿宋_GB2312" w:cs="仿宋_GB2312"/>
                <w:b w:val="0"/>
                <w:bCs w:val="0"/>
                <w:color w:val="000000"/>
                <w:sz w:val="24"/>
                <w:szCs w:val="24"/>
                <w:u w:val="none"/>
                <w:lang w:eastAsia="zh-CN"/>
              </w:rPr>
              <w:t>。</w:t>
            </w:r>
          </w:p>
          <w:p w14:paraId="31FE0D1D">
            <w:pPr>
              <w:pStyle w:val="17"/>
              <w:keepNext w:val="0"/>
              <w:keepLines w:val="0"/>
              <w:pageBreakBefore w:val="0"/>
              <w:numPr>
                <w:ilvl w:val="0"/>
                <w:numId w:val="0"/>
              </w:numPr>
              <w:tabs>
                <w:tab w:val="left" w:pos="0"/>
              </w:tabs>
              <w:kinsoku/>
              <w:wordWrap/>
              <w:overflowPunct/>
              <w:topLinePunct w:val="0"/>
              <w:autoSpaceDE/>
              <w:autoSpaceDN/>
              <w:bidi w:val="0"/>
              <w:adjustRightInd/>
              <w:snapToGrid w:val="0"/>
              <w:spacing w:line="400" w:lineRule="exact"/>
              <w:ind w:leftChars="0"/>
              <w:textAlignment w:val="auto"/>
              <w:rPr>
                <w:rFonts w:ascii="Segoe UI;苹方-简" w:hAnsi="Segoe UI;苹方-简" w:eastAsia="Segoe UI;苹方-简" w:cs="Segoe UI;苹方-简"/>
                <w:b/>
                <w:bCs/>
                <w:i w:val="0"/>
                <w:iCs w:val="0"/>
                <w:caps w:val="0"/>
                <w:smallCaps w:val="0"/>
                <w:color w:val="0F1115"/>
                <w:spacing w:val="0"/>
                <w:sz w:val="24"/>
                <w:szCs w:val="24"/>
                <w:u w:val="none"/>
                <w:shd w:val="clear" w:fill="FFFFFF"/>
              </w:rPr>
            </w:pPr>
            <w:r>
              <w:rPr>
                <w:rFonts w:hint="eastAsia" w:ascii="仿宋_GB2312" w:hAnsi="仿宋_GB2312" w:cs="仿宋_GB2312"/>
                <w:b/>
                <w:bCs/>
                <w:color w:val="000000"/>
                <w:sz w:val="24"/>
                <w:szCs w:val="24"/>
                <w:u w:val="none"/>
                <w:lang w:val="en-US" w:eastAsia="zh-CN"/>
              </w:rPr>
              <w:t xml:space="preserve">    三、</w:t>
            </w:r>
            <w:r>
              <w:rPr>
                <w:rFonts w:ascii="仿宋_GB2312" w:hAnsi="仿宋_GB2312" w:eastAsia="仿宋_GB2312" w:cs="仿宋_GB2312"/>
                <w:b/>
                <w:bCs/>
                <w:color w:val="000000"/>
                <w:sz w:val="24"/>
                <w:szCs w:val="24"/>
                <w:u w:val="none"/>
              </w:rPr>
              <w:t>资助经费</w:t>
            </w:r>
          </w:p>
          <w:p w14:paraId="1A81060F">
            <w:pPr>
              <w:pStyle w:val="17"/>
              <w:keepNext w:val="0"/>
              <w:keepLines w:val="0"/>
              <w:pageBreakBefore w:val="0"/>
              <w:numPr>
                <w:ilvl w:val="0"/>
                <w:numId w:val="0"/>
              </w:numPr>
              <w:kinsoku/>
              <w:wordWrap/>
              <w:overflowPunct/>
              <w:topLinePunct w:val="0"/>
              <w:autoSpaceDE/>
              <w:autoSpaceDN/>
              <w:bidi w:val="0"/>
              <w:adjustRightInd/>
              <w:snapToGrid w:val="0"/>
              <w:spacing w:line="400" w:lineRule="exact"/>
              <w:ind w:left="0" w:leftChars="0" w:firstLine="514" w:firstLineChars="200"/>
              <w:textAlignment w:val="auto"/>
              <w:rPr>
                <w:rFonts w:hint="eastAsia" w:ascii="仿宋_GB2312" w:eastAsia="仿宋_GB2312"/>
                <w:sz w:val="24"/>
                <w:szCs w:val="24"/>
                <w:u w:val="none"/>
              </w:rPr>
            </w:pPr>
            <w:r>
              <w:rPr>
                <w:rFonts w:ascii="仿宋_GB2312" w:hAnsi="仿宋_GB2312" w:eastAsia="仿宋_GB2312" w:cs="仿宋_GB2312"/>
                <w:b w:val="0"/>
                <w:bCs w:val="0"/>
                <w:color w:val="000000"/>
                <w:sz w:val="24"/>
                <w:szCs w:val="24"/>
                <w:u w:val="none"/>
              </w:rPr>
              <w:t>项目总投资2000万元，申请省科技资助500万元、自筹1500万元。</w:t>
            </w:r>
          </w:p>
        </w:tc>
        <w:tc>
          <w:tcPr>
            <w:tcW w:w="1447" w:type="dxa"/>
            <w:tcBorders>
              <w:top w:val="single" w:color="auto" w:sz="4" w:space="0"/>
              <w:left w:val="single" w:color="auto" w:sz="4" w:space="0"/>
              <w:bottom w:val="single" w:color="auto" w:sz="4" w:space="0"/>
              <w:right w:val="single" w:color="auto" w:sz="4" w:space="0"/>
            </w:tcBorders>
            <w:vAlign w:val="center"/>
          </w:tcPr>
          <w:p w14:paraId="00652FBF">
            <w:pPr>
              <w:keepNext w:val="0"/>
              <w:keepLines w:val="0"/>
              <w:pageBreakBefore w:val="0"/>
              <w:kinsoku/>
              <w:wordWrap/>
              <w:overflowPunct/>
              <w:topLinePunct w:val="0"/>
              <w:autoSpaceDE/>
              <w:autoSpaceDN/>
              <w:bidi w:val="0"/>
              <w:adjustRightInd/>
              <w:spacing w:line="400" w:lineRule="exact"/>
              <w:jc w:val="center"/>
              <w:textAlignment w:val="auto"/>
              <w:rPr>
                <w:rFonts w:hint="eastAsia" w:ascii="仿宋_GB2312" w:eastAsia="仿宋_GB2312"/>
                <w:sz w:val="24"/>
                <w:szCs w:val="24"/>
                <w:u w:val="none"/>
                <w:lang w:eastAsia="zh-CN"/>
              </w:rPr>
            </w:pPr>
            <w:r>
              <w:rPr>
                <w:rFonts w:ascii="仿宋_GB2312" w:hAnsi="仿宋_GB2312" w:eastAsia="仿宋_GB2312" w:cs="仿宋_GB2312"/>
                <w:b w:val="0"/>
                <w:sz w:val="24"/>
                <w:szCs w:val="24"/>
                <w:u w:val="none"/>
              </w:rPr>
              <w:t>500</w:t>
            </w:r>
          </w:p>
        </w:tc>
        <w:tc>
          <w:tcPr>
            <w:tcW w:w="1556" w:type="dxa"/>
            <w:tcBorders>
              <w:top w:val="single" w:color="auto" w:sz="4" w:space="0"/>
              <w:left w:val="single" w:color="auto" w:sz="4" w:space="0"/>
              <w:bottom w:val="single" w:color="auto" w:sz="4" w:space="0"/>
              <w:right w:val="single" w:color="auto" w:sz="4" w:space="0"/>
            </w:tcBorders>
            <w:vAlign w:val="center"/>
          </w:tcPr>
          <w:p w14:paraId="3BBDF755">
            <w:r>
              <w:rPr>
                <w:rFonts w:hint="eastAsia" w:ascii="仿宋_GB2312" w:hAnsi="宋体" w:eastAsia="仿宋_GB2312" w:cs="宋体"/>
                <w:bCs/>
                <w:kern w:val="0"/>
                <w:sz w:val="24"/>
                <w:szCs w:val="24"/>
                <w:u w:val="none"/>
              </w:rPr>
              <w:t>申报单位须对本专题的整体研发内容和目标进行申报</w:t>
            </w:r>
          </w:p>
          <w:p w14:paraId="65B6CD03"/>
          <w:p w14:paraId="6FAD95B8"/>
          <w:p w14:paraId="7DD25705"/>
          <w:p w14:paraId="59C50769"/>
          <w:p w14:paraId="2ED941E7"/>
          <w:p w14:paraId="2A572923"/>
          <w:p w14:paraId="20B37A79"/>
          <w:p w14:paraId="1B63286D"/>
          <w:p w14:paraId="6F407473"/>
          <w:p w14:paraId="7039F5B1"/>
          <w:p w14:paraId="16CDEDA5">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仿宋_GB2312" w:eastAsia="仿宋_GB2312"/>
                <w:sz w:val="24"/>
                <w:szCs w:val="24"/>
                <w:u w:val="none"/>
              </w:rPr>
            </w:pPr>
          </w:p>
        </w:tc>
      </w:tr>
    </w:tbl>
    <w:p w14:paraId="0A72F9F8">
      <w:pPr>
        <w:rPr>
          <w:rFonts w:hint="default"/>
          <w:u w:val="none"/>
          <w:lang w:val="en-US" w:eastAsia="zh-CN"/>
        </w:rPr>
      </w:pPr>
    </w:p>
    <w:p w14:paraId="31EF8F51">
      <w:pPr>
        <w:rPr>
          <w:rFonts w:hint="default"/>
          <w:u w:val="none"/>
          <w:lang w:val="en-US" w:eastAsia="zh-CN"/>
        </w:rPr>
      </w:pPr>
    </w:p>
    <w:p w14:paraId="43C5B9F4">
      <w:pPr>
        <w:rPr>
          <w:rFonts w:hint="default"/>
          <w:u w:val="none"/>
          <w:lang w:val="en-US" w:eastAsia="zh-CN"/>
        </w:rPr>
      </w:pPr>
    </w:p>
    <w:p w14:paraId="54C07129">
      <w:pPr>
        <w:rPr>
          <w:rFonts w:hint="default"/>
          <w:u w:val="none"/>
          <w:lang w:val="en-US" w:eastAsia="zh-CN"/>
        </w:rPr>
      </w:pPr>
    </w:p>
    <w:p w14:paraId="0C5224EE">
      <w:pPr>
        <w:rPr>
          <w:rFonts w:hint="default"/>
          <w:u w:val="none"/>
          <w:lang w:val="en-US" w:eastAsia="zh-CN"/>
        </w:rPr>
      </w:pPr>
    </w:p>
    <w:p w14:paraId="2D6AC99E">
      <w:pPr>
        <w:rPr>
          <w:rFonts w:hint="default"/>
          <w:u w:val="none"/>
          <w:lang w:val="en-US" w:eastAsia="zh-CN"/>
        </w:rPr>
      </w:pPr>
    </w:p>
    <w:p w14:paraId="60C41AAE">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u w:val="none"/>
          <w:lang w:val="en-US" w:eastAsia="zh-CN"/>
        </w:rPr>
      </w:pPr>
    </w:p>
    <w:p w14:paraId="74392B5A">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u w:val="none"/>
          <w:lang w:val="en-US" w:eastAsia="zh-CN"/>
        </w:rPr>
      </w:pPr>
    </w:p>
    <w:p w14:paraId="58D79FBA">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u w:val="none"/>
          <w:lang w:val="en-US" w:eastAsia="zh-CN"/>
        </w:rPr>
      </w:pPr>
    </w:p>
    <w:p w14:paraId="02564C09">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u w:val="none"/>
          <w:lang w:val="en-US" w:eastAsia="zh-CN"/>
        </w:rPr>
      </w:pPr>
    </w:p>
    <w:p w14:paraId="77676C2C">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u w:val="none"/>
          <w:lang w:val="en-US" w:eastAsia="zh-CN"/>
        </w:rPr>
      </w:pPr>
    </w:p>
    <w:p w14:paraId="0EAFFFB3">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u w:val="none"/>
          <w:lang w:val="en-US" w:eastAsia="zh-CN"/>
        </w:rPr>
        <w:sectPr>
          <w:pgSz w:w="11906" w:h="16838"/>
          <w:pgMar w:top="2098" w:right="1531" w:bottom="1984" w:left="1531" w:header="851" w:footer="1417" w:gutter="0"/>
          <w:pgNumType w:fmt="decimal"/>
          <w:cols w:space="0" w:num="1"/>
          <w:titlePg/>
          <w:docGrid w:type="linesAndChars" w:linePitch="579" w:charSpace="3686"/>
        </w:sectPr>
      </w:pPr>
    </w:p>
    <w:p w14:paraId="67442433">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u w:val="none"/>
          <w:lang w:val="en-US" w:eastAsia="zh-CN"/>
        </w:rPr>
      </w:pPr>
      <w:r>
        <w:rPr>
          <w:rFonts w:hint="eastAsia" w:ascii="黑体" w:hAnsi="黑体" w:eastAsia="黑体" w:cs="黑体"/>
          <w:u w:val="none"/>
          <w:lang w:val="en-US" w:eastAsia="zh-CN"/>
        </w:rPr>
        <w:t>附件3</w:t>
      </w:r>
    </w:p>
    <w:p w14:paraId="142C92EC">
      <w:pPr>
        <w:pStyle w:val="8"/>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rPr>
          <w:rFonts w:hint="eastAsia" w:ascii="方正小标宋_GBK" w:hAnsi="方正小标宋_GBK" w:eastAsia="方正小标宋_GBK" w:cs="方正小标宋_GBK"/>
          <w:kern w:val="0"/>
          <w:sz w:val="44"/>
          <w:szCs w:val="44"/>
          <w:u w:val="none"/>
          <w:lang w:val="en-US" w:eastAsia="zh-CN"/>
        </w:rPr>
      </w:pPr>
      <w:r>
        <w:rPr>
          <w:rFonts w:hint="eastAsia" w:ascii="方正小标宋_GBK" w:hAnsi="方正小标宋_GBK" w:eastAsia="方正小标宋_GBK" w:cs="方正小标宋_GBK"/>
          <w:kern w:val="0"/>
          <w:sz w:val="44"/>
          <w:szCs w:val="44"/>
          <w:u w:val="none"/>
          <w:lang w:val="en-US" w:eastAsia="zh-CN"/>
        </w:rPr>
        <w:t>省“揭榜挂帅（科技重大专项）”项目</w:t>
      </w:r>
    </w:p>
    <w:p w14:paraId="4023ACFA">
      <w:pPr>
        <w:pStyle w:val="8"/>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rPr>
          <w:rFonts w:hint="eastAsia" w:ascii="方正小标宋_GBK" w:hAnsi="方正小标宋_GBK" w:eastAsia="方正小标宋_GBK" w:cs="方正小标宋_GBK"/>
          <w:kern w:val="0"/>
          <w:sz w:val="44"/>
          <w:szCs w:val="44"/>
          <w:u w:val="none"/>
          <w:lang w:val="en-US" w:eastAsia="zh-CN"/>
        </w:rPr>
      </w:pPr>
      <w:r>
        <w:rPr>
          <w:rFonts w:hint="eastAsia" w:ascii="方正小标宋_GBK" w:hAnsi="方正小标宋_GBK" w:eastAsia="方正小标宋_GBK" w:cs="方正小标宋_GBK"/>
          <w:kern w:val="0"/>
          <w:sz w:val="44"/>
          <w:szCs w:val="44"/>
          <w:u w:val="none"/>
          <w:lang w:val="en-US" w:eastAsia="zh-CN"/>
        </w:rPr>
        <w:t>申报承诺书</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6178B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89" w:hRule="atLeast"/>
          <w:jc w:val="center"/>
        </w:trPr>
        <w:tc>
          <w:tcPr>
            <w:tcW w:w="8522" w:type="dxa"/>
            <w:noWrap w:val="0"/>
            <w:vAlign w:val="top"/>
          </w:tcPr>
          <w:p w14:paraId="1FC9C52E">
            <w:pPr>
              <w:spacing w:line="400" w:lineRule="exact"/>
              <w:jc w:val="center"/>
              <w:rPr>
                <w:rFonts w:hint="eastAsia"/>
              </w:rPr>
            </w:pPr>
          </w:p>
          <w:p w14:paraId="5EF59399">
            <w:pPr>
              <w:spacing w:line="640" w:lineRule="exact"/>
              <w:jc w:val="center"/>
              <w:rPr>
                <w:rFonts w:hint="eastAsia"/>
                <w:b/>
                <w:bCs/>
              </w:rPr>
            </w:pPr>
            <w:r>
              <w:rPr>
                <w:rFonts w:hint="eastAsia"/>
                <w:b/>
                <w:bCs/>
              </w:rPr>
              <w:t>省“揭榜挂帅（科技重大专项）”项目</w:t>
            </w:r>
          </w:p>
          <w:p w14:paraId="3F6AB56C">
            <w:pPr>
              <w:spacing w:line="640" w:lineRule="exact"/>
              <w:jc w:val="center"/>
              <w:rPr>
                <w:rFonts w:hint="eastAsia"/>
                <w:b/>
                <w:bCs/>
              </w:rPr>
            </w:pPr>
            <w:r>
              <w:rPr>
                <w:rFonts w:hint="eastAsia"/>
                <w:b/>
                <w:bCs/>
              </w:rPr>
              <w:t>申报承诺</w:t>
            </w:r>
          </w:p>
          <w:p w14:paraId="3079D23D">
            <w:pPr>
              <w:spacing w:line="640" w:lineRule="exact"/>
              <w:ind w:firstLine="674" w:firstLineChars="200"/>
              <w:jc w:val="left"/>
              <w:rPr>
                <w:rFonts w:hint="eastAsia"/>
              </w:rPr>
            </w:pPr>
            <w:r>
              <w:rPr>
                <w:rFonts w:hint="eastAsia"/>
                <w:u w:val="single"/>
              </w:rPr>
              <w:t xml:space="preserve">                       </w:t>
            </w:r>
            <w:r>
              <w:rPr>
                <w:rFonts w:hint="eastAsia"/>
              </w:rPr>
              <w:t>“揭榜挂帅”项目</w:t>
            </w:r>
            <w:r>
              <w:rPr>
                <w:rFonts w:hint="eastAsia"/>
                <w:lang w:val="en-US" w:eastAsia="zh-CN"/>
              </w:rPr>
              <w:t>/</w:t>
            </w:r>
            <w:r>
              <w:rPr>
                <w:rFonts w:hint="eastAsia"/>
                <w:lang w:eastAsia="zh-CN"/>
              </w:rPr>
              <w:t>科技重大专项项目</w:t>
            </w:r>
            <w:r>
              <w:rPr>
                <w:rFonts w:hint="eastAsia"/>
              </w:rPr>
              <w:t>配套资金不少于</w:t>
            </w:r>
            <w:r>
              <w:rPr>
                <w:rFonts w:hint="eastAsia"/>
                <w:u w:val="single"/>
              </w:rPr>
              <w:t xml:space="preserve">         </w:t>
            </w:r>
            <w:r>
              <w:rPr>
                <w:rFonts w:hint="eastAsia"/>
              </w:rPr>
              <w:t>万元。配套经费承诺在项目执行期内投入，且全部用于该项目的</w:t>
            </w:r>
            <w:r>
              <w:rPr>
                <w:rFonts w:hint="eastAsia"/>
                <w:lang w:eastAsia="zh-CN"/>
              </w:rPr>
              <w:t>科技</w:t>
            </w:r>
            <w:r>
              <w:rPr>
                <w:rFonts w:hint="eastAsia"/>
              </w:rPr>
              <w:t>研发、</w:t>
            </w:r>
            <w:r>
              <w:rPr>
                <w:rFonts w:hint="eastAsia"/>
                <w:lang w:eastAsia="zh-CN"/>
              </w:rPr>
              <w:t>技术攻关、</w:t>
            </w:r>
            <w:r>
              <w:rPr>
                <w:rFonts w:hint="eastAsia"/>
              </w:rPr>
              <w:t>成果转化等工作。</w:t>
            </w:r>
          </w:p>
          <w:p w14:paraId="53D9B158">
            <w:pPr>
              <w:spacing w:line="640" w:lineRule="exact"/>
              <w:ind w:firstLine="674" w:firstLineChars="200"/>
              <w:jc w:val="left"/>
              <w:rPr>
                <w:rFonts w:hint="eastAsia"/>
                <w:lang w:eastAsia="zh-CN"/>
              </w:rPr>
            </w:pPr>
            <w:r>
              <w:rPr>
                <w:rFonts w:hint="eastAsia"/>
                <w:lang w:eastAsia="zh-CN"/>
              </w:rPr>
              <w:t>本次申报项目内容不存在多头申报和重复申报等情况，如有违反，本单位愿承担由此产生的一切法律责任及后果，并全额退还已获得的财政资助经费。</w:t>
            </w:r>
          </w:p>
          <w:p w14:paraId="782B7DB8"/>
          <w:p w14:paraId="6C8D6D2C"/>
          <w:p w14:paraId="0B4C3DE0">
            <w:pPr>
              <w:spacing w:line="640" w:lineRule="exact"/>
              <w:ind w:firstLine="4044" w:firstLineChars="1200"/>
              <w:jc w:val="left"/>
              <w:rPr>
                <w:rFonts w:hint="eastAsia"/>
              </w:rPr>
            </w:pPr>
            <w:r>
              <w:rPr>
                <w:rFonts w:hint="eastAsia"/>
              </w:rPr>
              <w:t>单位（盖章）：</w:t>
            </w:r>
          </w:p>
          <w:p w14:paraId="3156F690">
            <w:pPr>
              <w:spacing w:line="640" w:lineRule="exact"/>
              <w:ind w:firstLine="4718" w:firstLineChars="1400"/>
              <w:jc w:val="left"/>
              <w:rPr>
                <w:rFonts w:hint="eastAsia"/>
              </w:rPr>
            </w:pPr>
            <w:r>
              <w:rPr>
                <w:rFonts w:hint="eastAsia"/>
              </w:rPr>
              <w:t>日期：</w:t>
            </w:r>
          </w:p>
          <w:p w14:paraId="3A123C9A">
            <w:pPr>
              <w:pStyle w:val="2"/>
              <w:rPr>
                <w:rFonts w:hint="eastAsia" w:ascii="仿宋_GB2312" w:hAnsi="宋体" w:cs="宋体"/>
                <w:kern w:val="0"/>
                <w:sz w:val="28"/>
                <w:szCs w:val="28"/>
                <w:u w:val="none"/>
              </w:rPr>
            </w:pPr>
          </w:p>
          <w:p w14:paraId="1FBF5033">
            <w:pPr>
              <w:pStyle w:val="2"/>
              <w:spacing w:line="340" w:lineRule="exact"/>
              <w:rPr>
                <w:rFonts w:hint="eastAsia" w:ascii="仿宋_GB2312" w:hAnsi="宋体" w:eastAsia="仿宋_GB2312" w:cs="宋体"/>
                <w:kern w:val="0"/>
                <w:szCs w:val="32"/>
                <w:u w:val="none"/>
                <w:lang w:eastAsia="zh-CN"/>
              </w:rPr>
            </w:pPr>
            <w:r>
              <w:rPr>
                <w:rFonts w:hint="eastAsia" w:ascii="仿宋_GB2312" w:hAnsi="仿宋_GB2312" w:eastAsia="仿宋_GB2312" w:cs="仿宋_GB2312"/>
                <w:kern w:val="0"/>
                <w:sz w:val="28"/>
                <w:szCs w:val="28"/>
                <w:u w:val="none"/>
                <w:lang w:eastAsia="zh-CN"/>
              </w:rPr>
              <w:t>备注：申报成果转化项目需增加</w:t>
            </w:r>
            <w:r>
              <w:rPr>
                <w:rFonts w:hint="eastAsia" w:ascii="仿宋_GB2312" w:hAnsi="仿宋_GB2312" w:eastAsia="仿宋_GB2312" w:cs="仿宋_GB2312"/>
                <w:sz w:val="28"/>
                <w:szCs w:val="28"/>
                <w:u w:val="none"/>
              </w:rPr>
              <w:t>不存在关联交易</w:t>
            </w:r>
            <w:r>
              <w:rPr>
                <w:rFonts w:hint="eastAsia" w:ascii="仿宋_GB2312" w:hAnsi="仿宋_GB2312" w:eastAsia="仿宋_GB2312" w:cs="仿宋_GB2312"/>
                <w:sz w:val="28"/>
                <w:szCs w:val="28"/>
                <w:u w:val="none"/>
                <w:lang w:eastAsia="zh-CN"/>
              </w:rPr>
              <w:t>，</w:t>
            </w:r>
            <w:r>
              <w:rPr>
                <w:rFonts w:hint="eastAsia" w:ascii="仿宋_GB2312" w:hAnsi="仿宋_GB2312" w:eastAsia="仿宋_GB2312" w:cs="仿宋_GB2312"/>
                <w:sz w:val="28"/>
                <w:szCs w:val="28"/>
                <w:u w:val="none"/>
              </w:rPr>
              <w:t>项目资助经费单独设账、独立核算</w:t>
            </w:r>
            <w:r>
              <w:rPr>
                <w:rFonts w:hint="eastAsia" w:ascii="仿宋_GB2312" w:hAnsi="仿宋_GB2312" w:eastAsia="仿宋_GB2312" w:cs="仿宋_GB2312"/>
                <w:sz w:val="28"/>
                <w:szCs w:val="28"/>
                <w:u w:val="none"/>
                <w:lang w:eastAsia="zh-CN"/>
              </w:rPr>
              <w:t>等承诺。</w:t>
            </w:r>
          </w:p>
        </w:tc>
      </w:tr>
    </w:tbl>
    <w:p w14:paraId="7449A981">
      <w:pPr>
        <w:pStyle w:val="9"/>
        <w:rPr>
          <w:rFonts w:hint="eastAsia"/>
          <w:u w:val="none"/>
          <w:lang w:val="en-US" w:eastAsia="zh-CN"/>
        </w:rPr>
      </w:pPr>
    </w:p>
    <w:p w14:paraId="20688C67">
      <w:pPr>
        <w:rPr>
          <w:rFonts w:ascii="仿宋" w:hAnsi="仿宋" w:eastAsia="仿宋" w:cs="仿宋"/>
          <w:b/>
          <w:bCs/>
          <w:szCs w:val="32"/>
          <w:u w:val="none"/>
        </w:rPr>
      </w:pPr>
    </w:p>
    <w:p w14:paraId="23704B05">
      <w:pPr>
        <w:rPr>
          <w:rFonts w:ascii="仿宋" w:hAnsi="仿宋" w:eastAsia="仿宋" w:cs="仿宋"/>
          <w:szCs w:val="32"/>
          <w:u w:val="none"/>
        </w:rPr>
      </w:pPr>
    </w:p>
    <w:p w14:paraId="22F5A65E">
      <w:pPr>
        <w:rPr>
          <w:rFonts w:ascii="仿宋" w:hAnsi="仿宋" w:eastAsia="仿宋" w:cs="仿宋"/>
          <w:szCs w:val="32"/>
          <w:u w:val="none"/>
        </w:rPr>
      </w:pPr>
    </w:p>
    <w:p w14:paraId="74B6450D">
      <w:pPr>
        <w:tabs>
          <w:tab w:val="left" w:pos="2397"/>
        </w:tabs>
        <w:jc w:val="left"/>
        <w:rPr>
          <w:rFonts w:ascii="仿宋" w:hAnsi="仿宋" w:eastAsia="仿宋" w:cs="仿宋"/>
          <w:szCs w:val="32"/>
          <w:u w:val="none"/>
        </w:rPr>
      </w:pPr>
      <w:r>
        <w:rPr>
          <w:rFonts w:hint="eastAsia" w:ascii="仿宋" w:hAnsi="仿宋" w:eastAsia="仿宋" w:cs="仿宋"/>
          <w:szCs w:val="32"/>
          <w:u w:val="none"/>
        </w:rPr>
        <w:tab/>
      </w:r>
    </w:p>
    <w:p w14:paraId="2DCAFED3">
      <w:pPr>
        <w:rPr>
          <w:rFonts w:ascii="仿宋" w:hAnsi="仿宋" w:eastAsia="仿宋" w:cs="仿宋"/>
          <w:szCs w:val="32"/>
          <w:u w:val="none"/>
        </w:rPr>
      </w:pPr>
    </w:p>
    <w:p w14:paraId="0FF38AE2">
      <w:pPr>
        <w:jc w:val="left"/>
        <w:rPr>
          <w:u w:val="none"/>
        </w:rPr>
      </w:pPr>
    </w:p>
    <w:p w14:paraId="7F25A447">
      <w:pPr>
        <w:jc w:val="left"/>
        <w:rPr>
          <w:u w:val="none"/>
        </w:rPr>
      </w:pPr>
    </w:p>
    <w:p w14:paraId="12CE523D">
      <w:pPr>
        <w:jc w:val="left"/>
        <w:rPr>
          <w:u w:val="none"/>
        </w:rPr>
      </w:pPr>
    </w:p>
    <w:p w14:paraId="09B6911C">
      <w:pPr>
        <w:jc w:val="left"/>
        <w:rPr>
          <w:u w:val="none"/>
        </w:rPr>
      </w:pPr>
      <w:r>
        <w:rPr>
          <w:rFonts w:hint="eastAsia"/>
          <w:u w:val="none"/>
          <w:lang w:val="en-US" w:eastAsia="zh-CN"/>
        </w:rPr>
        <w:drawing>
          <wp:anchor distT="0" distB="0" distL="114300" distR="114300" simplePos="0" relativeHeight="251667456" behindDoc="0" locked="0" layoutInCell="1" allowOverlap="1">
            <wp:simplePos x="0" y="0"/>
            <wp:positionH relativeFrom="margin">
              <wp:posOffset>3669030</wp:posOffset>
            </wp:positionH>
            <wp:positionV relativeFrom="margin">
              <wp:posOffset>8162925</wp:posOffset>
            </wp:positionV>
            <wp:extent cx="1841500" cy="457200"/>
            <wp:effectExtent l="0" t="0" r="6350" b="0"/>
            <wp:wrapNone/>
            <wp:docPr id="16" name="图片 3" descr="http://portal.fj.cegn.cn:8081/lw-zwbg-cloud//core/upload/2026/11/03/20261103043723299.bmp"/>
            <wp:cNvGraphicFramePr/>
            <a:graphic xmlns:a="http://schemas.openxmlformats.org/drawingml/2006/main">
              <a:graphicData uri="http://schemas.openxmlformats.org/drawingml/2006/picture">
                <pic:pic xmlns:pic="http://schemas.openxmlformats.org/drawingml/2006/picture">
                  <pic:nvPicPr>
                    <pic:cNvPr id="16" name="图片 3" descr="http://portal.fj.cegn.cn:8081/lw-zwbg-cloud//core/upload/2026/11/03/20261103043723299.bmp"/>
                    <pic:cNvPicPr/>
                  </pic:nvPicPr>
                  <pic:blipFill>
                    <a:blip r:embed="rId12" r:link="rId13"/>
                    <a:stretch>
                      <a:fillRect/>
                    </a:stretch>
                  </pic:blipFill>
                  <pic:spPr>
                    <a:xfrm>
                      <a:off x="0" y="0"/>
                      <a:ext cx="1841500" cy="457200"/>
                    </a:xfrm>
                    <a:prstGeom prst="rect">
                      <a:avLst/>
                    </a:prstGeom>
                    <a:noFill/>
                    <a:ln>
                      <a:noFill/>
                    </a:ln>
                  </pic:spPr>
                </pic:pic>
              </a:graphicData>
            </a:graphic>
          </wp:anchor>
        </w:drawing>
      </w:r>
      <w:r>
        <w:rPr>
          <w:rFonts w:hint="eastAsia"/>
          <w:u w:val="none"/>
        </w:rPr>
        <mc:AlternateContent>
          <mc:Choice Requires="wps">
            <w:drawing>
              <wp:anchor distT="0" distB="0" distL="114300" distR="114300" simplePos="0" relativeHeight="251666432" behindDoc="0" locked="0" layoutInCell="1" allowOverlap="1">
                <wp:simplePos x="0" y="0"/>
                <wp:positionH relativeFrom="margin">
                  <wp:posOffset>-53975</wp:posOffset>
                </wp:positionH>
                <wp:positionV relativeFrom="page">
                  <wp:posOffset>8996045</wp:posOffset>
                </wp:positionV>
                <wp:extent cx="5676900" cy="426720"/>
                <wp:effectExtent l="0" t="0" r="0" b="0"/>
                <wp:wrapTopAndBottom/>
                <wp:docPr id="11" name="CopySendText"/>
                <wp:cNvGraphicFramePr/>
                <a:graphic xmlns:a="http://schemas.openxmlformats.org/drawingml/2006/main">
                  <a:graphicData uri="http://schemas.microsoft.com/office/word/2010/wordprocessingShape">
                    <wps:wsp>
                      <wps:cNvSpPr txBox="1"/>
                      <wps:spPr>
                        <a:xfrm>
                          <a:off x="0" y="0"/>
                          <a:ext cx="5676900" cy="426720"/>
                        </a:xfrm>
                        <a:prstGeom prst="rect">
                          <a:avLst/>
                        </a:prstGeom>
                        <a:noFill/>
                        <a:ln>
                          <a:noFill/>
                        </a:ln>
                      </wps:spPr>
                      <wps:txbx>
                        <w:txbxContent>
                          <w:p w14:paraId="28B17594">
                            <w:pPr>
                              <w:pStyle w:val="16"/>
                              <w:spacing w:line="600" w:lineRule="exact"/>
                              <w:ind w:firstLine="0"/>
                              <w:rPr>
                                <w:rFonts w:ascii="仿宋" w:hAnsi="仿宋" w:eastAsia="仿宋" w:cs="仿宋"/>
                                <w:color w:val="000000"/>
                                <w:sz w:val="28"/>
                                <w:szCs w:val="28"/>
                                <w:lang w:eastAsia="zh-CN"/>
                              </w:rPr>
                            </w:pP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 xml:space="preserve">福建省科学技术厅办公室   </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 xml:space="preserve"> </w:t>
                            </w:r>
                            <w:r>
                              <w:rPr>
                                <w:rFonts w:hint="eastAsia" w:ascii="仿宋" w:hAnsi="仿宋" w:eastAsia="仿宋" w:cs="仿宋"/>
                                <w:color w:val="000000"/>
                                <w:sz w:val="28"/>
                                <w:szCs w:val="28"/>
                                <w:lang w:val="en" w:eastAsia="zh-CN"/>
                              </w:rPr>
                              <w:t xml:space="preserve"> </w:t>
                            </w:r>
                            <w:r>
                              <w:rPr>
                                <w:rFonts w:hint="eastAsia" w:ascii="仿宋" w:hAnsi="仿宋" w:eastAsia="仿宋" w:cs="仿宋"/>
                                <w:color w:val="000000"/>
                                <w:sz w:val="28"/>
                                <w:szCs w:val="28"/>
                                <w:lang w:val="en-US" w:eastAsia="zh-CN"/>
                              </w:rPr>
                              <w:t xml:space="preserve">       </w:t>
                            </w:r>
                            <w:bookmarkStart w:id="11" w:name="draftingdate"/>
                            <w:r>
                              <w:rPr>
                                <w:rFonts w:hint="eastAsia" w:ascii="仿宋" w:hAnsi="仿宋" w:eastAsia="仿宋" w:cs="仿宋"/>
                                <w:color w:val="000000"/>
                                <w:sz w:val="28"/>
                                <w:szCs w:val="28"/>
                                <w:lang w:val="en" w:eastAsia="zh-CN"/>
                              </w:rPr>
                              <w:t>2026年11月</w:t>
                            </w:r>
                            <w:r>
                              <w:rPr>
                                <w:rFonts w:hint="eastAsia" w:ascii="仿宋" w:hAnsi="仿宋" w:eastAsia="仿宋" w:cs="仿宋"/>
                                <w:color w:val="000000"/>
                                <w:sz w:val="28"/>
                                <w:szCs w:val="28"/>
                                <w:lang w:val="en-US" w:eastAsia="zh-CN"/>
                              </w:rPr>
                              <w:t>3</w:t>
                            </w:r>
                            <w:r>
                              <w:rPr>
                                <w:rFonts w:hint="eastAsia" w:ascii="仿宋" w:hAnsi="仿宋" w:eastAsia="仿宋" w:cs="仿宋"/>
                                <w:color w:val="000000"/>
                                <w:sz w:val="28"/>
                                <w:szCs w:val="28"/>
                                <w:lang w:val="en" w:eastAsia="zh-CN"/>
                              </w:rPr>
                              <w:t>日</w:t>
                            </w:r>
                            <w:bookmarkEnd w:id="11"/>
                            <w:r>
                              <w:rPr>
                                <w:rFonts w:hint="eastAsia" w:ascii="仿宋" w:hAnsi="仿宋" w:eastAsia="仿宋" w:cs="仿宋"/>
                                <w:color w:val="000000"/>
                                <w:sz w:val="28"/>
                                <w:szCs w:val="28"/>
                                <w:lang w:eastAsia="zh-CN"/>
                              </w:rPr>
                              <w:t>印发</w:t>
                            </w:r>
                          </w:p>
                          <w:p w14:paraId="43A29041">
                            <w:pPr>
                              <w:pStyle w:val="16"/>
                              <w:spacing w:line="600" w:lineRule="exact"/>
                              <w:ind w:firstLine="0"/>
                              <w:rPr>
                                <w:rFonts w:ascii="仿宋" w:hAnsi="仿宋" w:eastAsia="仿宋" w:cs="仿宋"/>
                                <w:color w:val="000000"/>
                                <w:lang w:val="en-US" w:eastAsia="zh-CN"/>
                              </w:rPr>
                            </w:pPr>
                            <w:r>
                              <w:rPr>
                                <w:rFonts w:hint="eastAsia" w:ascii="仿宋" w:hAnsi="仿宋" w:eastAsia="仿宋" w:cs="仿宋"/>
                                <w:color w:val="000000"/>
                                <w:lang w:val="en-US" w:eastAsia="zh-CN"/>
                              </w:rPr>
                              <w:t xml:space="preserve">                                                                                                                                                                                                                                                                                                                                                                                                                                                                                                                                                                                                                                                                                                                                                                                                                                                                                                                                                                                                                                                                                                                                                                                                                                                                                                                                                                                                       </w:t>
                            </w:r>
                          </w:p>
                          <w:p w14:paraId="74D61F28">
                            <w:pPr>
                              <w:ind w:firstLine="320" w:firstLineChars="100"/>
                              <w:rPr>
                                <w:rFonts w:ascii="方正仿宋_GBK" w:hAnsi="方正仿宋_GBK" w:eastAsia="方正仿宋_GBK" w:cs="方正仿宋_GBK"/>
                              </w:rPr>
                            </w:pPr>
                          </w:p>
                        </w:txbxContent>
                      </wps:txbx>
                      <wps:bodyPr wrap="square" lIns="0" tIns="0" rIns="0" bIns="0" upright="1"/>
                    </wps:wsp>
                  </a:graphicData>
                </a:graphic>
              </wp:anchor>
            </w:drawing>
          </mc:Choice>
          <mc:Fallback>
            <w:pict>
              <v:shape id="CopySendText" o:spid="_x0000_s1026" o:spt="202" type="#_x0000_t202" style="position:absolute;left:0pt;margin-left:-4.25pt;margin-top:708.35pt;height:33.6pt;width:447pt;mso-position-horizontal-relative:margin;mso-position-vertical-relative:page;mso-wrap-distance-bottom:0pt;mso-wrap-distance-top:0pt;z-index:251666432;mso-width-relative:page;mso-height-relative:page;" filled="f" stroked="f" coordsize="21600,21600" o:gfxdata="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N8H2NbaAAAADAEAAA8AAAAAAAAAAQAgAAAAIgAAAGRycy9kb3ducmV2LnhtbFBLAQIU&#10;ABQAAAAIAIdO4kC59T79uAEAAIIDAAAOAAAAAAAAAAEAIAAAACkBAABkcnMvZTJvRG9jLnhtbFBL&#10;BQYAAAAABgAGAFkBAABTBQAAAAA=&#10;">
                <v:fill on="f" focussize="0,0"/>
                <v:stroke on="f"/>
                <v:imagedata o:title=""/>
                <o:lock v:ext="edit" aspectratio="f"/>
                <v:textbox inset="0mm,0mm,0mm,0mm">
                  <w:txbxContent>
                    <w:p w14:paraId="28B17594">
                      <w:pPr>
                        <w:pStyle w:val="16"/>
                        <w:spacing w:line="600" w:lineRule="exact"/>
                        <w:ind w:firstLine="0"/>
                        <w:rPr>
                          <w:rFonts w:ascii="仿宋" w:hAnsi="仿宋" w:eastAsia="仿宋" w:cs="仿宋"/>
                          <w:color w:val="000000"/>
                          <w:sz w:val="28"/>
                          <w:szCs w:val="28"/>
                          <w:lang w:eastAsia="zh-CN"/>
                        </w:rPr>
                      </w:pP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 xml:space="preserve">福建省科学技术厅办公室   </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 xml:space="preserve"> </w:t>
                      </w:r>
                      <w:r>
                        <w:rPr>
                          <w:rFonts w:hint="eastAsia" w:ascii="仿宋" w:hAnsi="仿宋" w:eastAsia="仿宋" w:cs="仿宋"/>
                          <w:color w:val="000000"/>
                          <w:sz w:val="28"/>
                          <w:szCs w:val="28"/>
                          <w:lang w:val="en" w:eastAsia="zh-CN"/>
                        </w:rPr>
                        <w:t xml:space="preserve"> </w:t>
                      </w:r>
                      <w:r>
                        <w:rPr>
                          <w:rFonts w:hint="eastAsia" w:ascii="仿宋" w:hAnsi="仿宋" w:eastAsia="仿宋" w:cs="仿宋"/>
                          <w:color w:val="000000"/>
                          <w:sz w:val="28"/>
                          <w:szCs w:val="28"/>
                          <w:lang w:val="en-US" w:eastAsia="zh-CN"/>
                        </w:rPr>
                        <w:t xml:space="preserve">       </w:t>
                      </w:r>
                      <w:bookmarkStart w:id="11" w:name="draftingdate"/>
                      <w:r>
                        <w:rPr>
                          <w:rFonts w:hint="eastAsia" w:ascii="仿宋" w:hAnsi="仿宋" w:eastAsia="仿宋" w:cs="仿宋"/>
                          <w:color w:val="000000"/>
                          <w:sz w:val="28"/>
                          <w:szCs w:val="28"/>
                          <w:lang w:val="en" w:eastAsia="zh-CN"/>
                        </w:rPr>
                        <w:t>2026年11月</w:t>
                      </w:r>
                      <w:r>
                        <w:rPr>
                          <w:rFonts w:hint="eastAsia" w:ascii="仿宋" w:hAnsi="仿宋" w:eastAsia="仿宋" w:cs="仿宋"/>
                          <w:color w:val="000000"/>
                          <w:sz w:val="28"/>
                          <w:szCs w:val="28"/>
                          <w:lang w:val="en-US" w:eastAsia="zh-CN"/>
                        </w:rPr>
                        <w:t>3</w:t>
                      </w:r>
                      <w:r>
                        <w:rPr>
                          <w:rFonts w:hint="eastAsia" w:ascii="仿宋" w:hAnsi="仿宋" w:eastAsia="仿宋" w:cs="仿宋"/>
                          <w:color w:val="000000"/>
                          <w:sz w:val="28"/>
                          <w:szCs w:val="28"/>
                          <w:lang w:val="en" w:eastAsia="zh-CN"/>
                        </w:rPr>
                        <w:t>日</w:t>
                      </w:r>
                      <w:bookmarkEnd w:id="11"/>
                      <w:r>
                        <w:rPr>
                          <w:rFonts w:hint="eastAsia" w:ascii="仿宋" w:hAnsi="仿宋" w:eastAsia="仿宋" w:cs="仿宋"/>
                          <w:color w:val="000000"/>
                          <w:sz w:val="28"/>
                          <w:szCs w:val="28"/>
                          <w:lang w:eastAsia="zh-CN"/>
                        </w:rPr>
                        <w:t>印发</w:t>
                      </w:r>
                    </w:p>
                    <w:p w14:paraId="43A29041">
                      <w:pPr>
                        <w:pStyle w:val="16"/>
                        <w:spacing w:line="600" w:lineRule="exact"/>
                        <w:ind w:firstLine="0"/>
                        <w:rPr>
                          <w:rFonts w:ascii="仿宋" w:hAnsi="仿宋" w:eastAsia="仿宋" w:cs="仿宋"/>
                          <w:color w:val="000000"/>
                          <w:lang w:val="en-US" w:eastAsia="zh-CN"/>
                        </w:rPr>
                      </w:pPr>
                      <w:r>
                        <w:rPr>
                          <w:rFonts w:hint="eastAsia" w:ascii="仿宋" w:hAnsi="仿宋" w:eastAsia="仿宋" w:cs="仿宋"/>
                          <w:color w:val="000000"/>
                          <w:lang w:val="en-US" w:eastAsia="zh-CN"/>
                        </w:rPr>
                        <w:t xml:space="preserve">                                                                                                                                                                                                                                                                                                                                                                                                                                                                                                                                                                                                                                                                                                                                                                                                                                                                                                                                                                                                                                                                                                                                                                                                                                                                                                                                                                                                       </w:t>
                      </w:r>
                    </w:p>
                    <w:p w14:paraId="74D61F28">
                      <w:pPr>
                        <w:ind w:firstLine="320" w:firstLineChars="100"/>
                        <w:rPr>
                          <w:rFonts w:ascii="方正仿宋_GBK" w:hAnsi="方正仿宋_GBK" w:eastAsia="方正仿宋_GBK" w:cs="方正仿宋_GBK"/>
                        </w:rPr>
                      </w:pPr>
                    </w:p>
                  </w:txbxContent>
                </v:textbox>
                <w10:wrap type="topAndBottom"/>
              </v:shape>
            </w:pict>
          </mc:Fallback>
        </mc:AlternateContent>
      </w:r>
      <w:r>
        <w:rPr>
          <w:rFonts w:hint="eastAsia" w:ascii="仿宋" w:hAnsi="仿宋" w:eastAsia="仿宋" w:cs="仿宋"/>
          <w:szCs w:val="32"/>
          <w:u w:val="none"/>
        </w:rPr>
        <mc:AlternateContent>
          <mc:Choice Requires="wps">
            <w:drawing>
              <wp:anchor distT="0" distB="0" distL="114300" distR="114300" simplePos="0" relativeHeight="251665408" behindDoc="0" locked="0" layoutInCell="1" allowOverlap="1">
                <wp:simplePos x="0" y="0"/>
                <wp:positionH relativeFrom="column">
                  <wp:posOffset>14605</wp:posOffset>
                </wp:positionH>
                <wp:positionV relativeFrom="page">
                  <wp:posOffset>9033510</wp:posOffset>
                </wp:positionV>
                <wp:extent cx="5584190" cy="3810"/>
                <wp:effectExtent l="0" t="0" r="0" b="0"/>
                <wp:wrapTopAndBottom/>
                <wp:docPr id="15" name="KeywordLine"/>
                <wp:cNvGraphicFramePr/>
                <a:graphic xmlns:a="http://schemas.openxmlformats.org/drawingml/2006/main">
                  <a:graphicData uri="http://schemas.microsoft.com/office/word/2010/wordprocessingShape">
                    <wps:wsp>
                      <wps:cNvCnPr/>
                      <wps:spPr>
                        <a:xfrm flipV="1">
                          <a:off x="0" y="0"/>
                          <a:ext cx="5584190" cy="3810"/>
                        </a:xfrm>
                        <a:prstGeom prst="line">
                          <a:avLst/>
                        </a:prstGeom>
                        <a:ln w="4445" cap="flat" cmpd="sng">
                          <a:solidFill>
                            <a:srgbClr val="000000"/>
                          </a:solidFill>
                          <a:prstDash val="solid"/>
                          <a:headEnd type="none" w="med" len="med"/>
                          <a:tailEnd type="none" w="med" len="med"/>
                        </a:ln>
                      </wps:spPr>
                      <wps:bodyPr/>
                    </wps:wsp>
                  </a:graphicData>
                </a:graphic>
              </wp:anchor>
            </w:drawing>
          </mc:Choice>
          <mc:Fallback>
            <w:pict>
              <v:line id="KeywordLine" o:spid="_x0000_s1026" o:spt="20" style="position:absolute;left:0pt;flip:y;margin-left:1.15pt;margin-top:711.3pt;height:0.3pt;width:439.7pt;mso-position-vertical-relative:page;mso-wrap-distance-bottom:0pt;mso-wrap-distance-top:0pt;z-index:251665408;mso-width-relative:page;mso-height-relative:page;" filled="f" stroked="t" coordsize="21600,21600" o:gfxdata="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AFVYod1gAAAAsBAAAP&#10;AAAAAAAAAAEAIAAAACIAAABkcnMvZG93bnJldi54bWxQSwECFAAUAAAACACHTuJAEknUk+EBAADg&#10;AwAADgAAAAAAAAABACAAAAAlAQAAZHJzL2Uyb0RvYy54bWxQSwUGAAAAAAYABgBZAQAAeAUAAAAA&#10;">
                <v:fill on="f" focussize="0,0"/>
                <v:stroke weight="0.35pt" color="#000000" joinstyle="round"/>
                <v:imagedata o:title=""/>
                <o:lock v:ext="edit" aspectratio="f"/>
                <w10:wrap type="topAndBottom"/>
              </v:line>
            </w:pict>
          </mc:Fallback>
        </mc:AlternateContent>
      </w:r>
      <w:r>
        <w:rPr>
          <w:rFonts w:hint="eastAsia" w:ascii="仿宋" w:hAnsi="仿宋" w:eastAsia="仿宋" w:cs="仿宋"/>
          <w:szCs w:val="32"/>
          <w:u w:val="none"/>
        </w:rPr>
        <mc:AlternateContent>
          <mc:Choice Requires="wps">
            <w:drawing>
              <wp:anchor distT="0" distB="0" distL="114300" distR="114300" simplePos="0" relativeHeight="251660288" behindDoc="0" locked="0" layoutInCell="1" allowOverlap="1">
                <wp:simplePos x="0" y="0"/>
                <wp:positionH relativeFrom="column">
                  <wp:posOffset>5080</wp:posOffset>
                </wp:positionH>
                <wp:positionV relativeFrom="page">
                  <wp:posOffset>9424670</wp:posOffset>
                </wp:positionV>
                <wp:extent cx="5612130" cy="0"/>
                <wp:effectExtent l="0" t="0" r="0" b="0"/>
                <wp:wrapTopAndBottom/>
                <wp:docPr id="14" name="KeywordLine"/>
                <wp:cNvGraphicFramePr/>
                <a:graphic xmlns:a="http://schemas.openxmlformats.org/drawingml/2006/main">
                  <a:graphicData uri="http://schemas.microsoft.com/office/word/2010/wordprocessingShape">
                    <wps:wsp>
                      <wps:cNvCnPr/>
                      <wps:spPr>
                        <a:xfrm>
                          <a:off x="0" y="0"/>
                          <a:ext cx="5612130" cy="0"/>
                        </a:xfrm>
                        <a:prstGeom prst="line">
                          <a:avLst/>
                        </a:prstGeom>
                        <a:ln w="4445" cap="flat" cmpd="sng">
                          <a:solidFill>
                            <a:srgbClr val="000000"/>
                          </a:solidFill>
                          <a:prstDash val="solid"/>
                          <a:headEnd type="none" w="med" len="med"/>
                          <a:tailEnd type="none" w="med" len="med"/>
                        </a:ln>
                      </wps:spPr>
                      <wps:bodyPr/>
                    </wps:wsp>
                  </a:graphicData>
                </a:graphic>
              </wp:anchor>
            </w:drawing>
          </mc:Choice>
          <mc:Fallback>
            <w:pict>
              <v:line id="KeywordLine" o:spid="_x0000_s1026" o:spt="20" style="position:absolute;left:0pt;margin-left:0.4pt;margin-top:742.1pt;height:0pt;width:441.9pt;mso-position-vertical-relative:page;mso-wrap-distance-bottom:0pt;mso-wrap-distance-top:0pt;z-index:251660288;mso-width-relative:page;mso-height-relative:page;" filled="f" stroked="t" coordsize="21600,21600" o:gfxdata="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a1K709YAAAAKAQAADwAAAAAAAAABACAA&#10;AAAiAAAAZHJzL2Rvd25yZXYueG1sUEsBAhQAFAAAAAgAh07iQLJzQajWAQAA0wMAAA4AAAAAAAAA&#10;AQAgAAAAJQEAAGRycy9lMm9Eb2MueG1sUEsFBgAAAAAGAAYAWQEAAG0FAAAAAA==&#10;">
                <v:fill on="f" focussize="0,0"/>
                <v:stroke weight="0.35pt" color="#000000" joinstyle="round"/>
                <v:imagedata o:title=""/>
                <o:lock v:ext="edit" aspectratio="f"/>
                <w10:wrap type="topAndBottom"/>
              </v:line>
            </w:pict>
          </mc:Fallback>
        </mc:AlternateContent>
      </w:r>
    </w:p>
    <w:p w14:paraId="34946000">
      <w:pPr>
        <w:pStyle w:val="9"/>
        <w:rPr>
          <w:rFonts w:hint="eastAsia"/>
          <w:u w:val="none"/>
          <w:lang w:val="en-US" w:eastAsia="zh-CN"/>
        </w:rPr>
      </w:pPr>
    </w:p>
    <w:sectPr>
      <w:headerReference r:id="rId8" w:type="first"/>
      <w:footerReference r:id="rId10" w:type="first"/>
      <w:headerReference r:id="rId7" w:type="default"/>
      <w:footerReference r:id="rId9" w:type="default"/>
      <w:pgSz w:w="11906" w:h="16838"/>
      <w:pgMar w:top="2098" w:right="1531" w:bottom="1984" w:left="1531" w:header="851" w:footer="1417" w:gutter="0"/>
      <w:pgNumType w:fmt="numberInDash"/>
      <w:cols w:space="720" w:num="1"/>
      <w:docGrid w:type="linesAndChars" w:linePitch="579" w:charSpace="368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panose1 w:val="02010600030101010101"/>
    <w:charset w:val="86"/>
    <w:family w:val="auto"/>
    <w:pitch w:val="default"/>
    <w:sig w:usb0="00000003" w:usb1="080E0000" w:usb2="00000000" w:usb3="00000000" w:csb0="00040001"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方正小标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Wingdings 2">
    <w:altName w:val="国标宋体-超大字符集"/>
    <w:panose1 w:val="05020102010507070707"/>
    <w:charset w:val="00"/>
    <w:family w:val="roman"/>
    <w:pitch w:val="default"/>
    <w:sig w:usb0="00000000" w:usb1="00000000" w:usb2="00000000" w:usb3="00000000" w:csb0="80000000" w:csb1="00000000"/>
  </w:font>
  <w:font w:name="国标宋体-超大字符集">
    <w:panose1 w:val="03000509000000000000"/>
    <w:charset w:val="86"/>
    <w:family w:val="auto"/>
    <w:pitch w:val="default"/>
    <w:sig w:usb0="00000001" w:usb1="08000000" w:usb2="00000000" w:usb3="00000000" w:csb0="00040001" w:csb1="00000000"/>
  </w:font>
  <w:font w:name="MathJax_Vector">
    <w:panose1 w:val="02000603000000000000"/>
    <w:charset w:val="00"/>
    <w:family w:val="auto"/>
    <w:pitch w:val="default"/>
    <w:sig w:usb0="00000001" w:usb1="00000020" w:usb2="00000000" w:usb3="00000000" w:csb0="00000001" w:csb1="00000000"/>
  </w:font>
  <w:font w:name="宋体;汉仪书宋二KW">
    <w:altName w:val="方正书宋_GBK"/>
    <w:panose1 w:val="00000000000000000000"/>
    <w:charset w:val="00"/>
    <w:family w:val="auto"/>
    <w:pitch w:val="default"/>
    <w:sig w:usb0="00000000" w:usb1="00000000" w:usb2="00000000" w:usb3="00000000" w:csb0="00000000" w:csb1="00000000"/>
  </w:font>
  <w:font w:name="方正书宋_GBK">
    <w:panose1 w:val="02000000000000000000"/>
    <w:charset w:val="86"/>
    <w:family w:val="auto"/>
    <w:pitch w:val="default"/>
    <w:sig w:usb0="00000001" w:usb1="08000000" w:usb2="00000000" w:usb3="00000000" w:csb0="00040000" w:csb1="00000000"/>
  </w:font>
  <w:font w:name="Segoe UI;苹方-简">
    <w:altName w:val="C059"/>
    <w:panose1 w:val="00000000000000000000"/>
    <w:charset w:val="00"/>
    <w:family w:val="auto"/>
    <w:pitch w:val="default"/>
    <w:sig w:usb0="00000000" w:usb1="00000000" w:usb2="00000000" w:usb3="00000000" w:csb0="00000000" w:csb1="00000000"/>
  </w:font>
  <w:font w:name="C059">
    <w:panose1 w:val="00000500000000000000"/>
    <w:charset w:val="00"/>
    <w:family w:val="auto"/>
    <w:pitch w:val="default"/>
    <w:sig w:usb0="00000287" w:usb1="00000800" w:usb2="00000000" w:usb3="00000000" w:csb0="6000009F" w:csb1="00000000"/>
  </w:font>
  <w:font w:name="Kingsoft UE">
    <w:panose1 w:val="02000100010000000000"/>
    <w:charset w:val="00"/>
    <w:family w:val="auto"/>
    <w:pitch w:val="default"/>
    <w:sig w:usb0="00000001" w:usb1="00004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513826">
    <w:pPr>
      <w:pStyle w:val="6"/>
      <w:jc w:val="center"/>
      <w:rPr>
        <w:sz w:val="28"/>
      </w:rPr>
    </w:pPr>
    <w:r>
      <w:rPr>
        <w:sz w:val="1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72E701">
                          <w:pPr>
                            <w:pStyle w:val="6"/>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2</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3772E701">
                    <w:pPr>
                      <w:pStyle w:val="6"/>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2</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txbxContent>
              </v:textbox>
            </v:shape>
          </w:pict>
        </mc:Fallback>
      </mc:AlternateContent>
    </w:r>
    <w:r>
      <mc:AlternateContent>
        <mc:Choice Requires="wps">
          <w:drawing>
            <wp:anchor distT="0" distB="0" distL="114300" distR="114300" simplePos="0" relativeHeight="251661312" behindDoc="0" locked="0" layoutInCell="1" allowOverlap="1">
              <wp:simplePos x="0" y="0"/>
              <wp:positionH relativeFrom="margin">
                <wp:posOffset>127000</wp:posOffset>
              </wp:positionH>
              <wp:positionV relativeFrom="paragraph">
                <wp:posOffset>-3810</wp:posOffset>
              </wp:positionV>
              <wp:extent cx="1062990" cy="20193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062990" cy="20193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85F00A">
                          <w:pPr>
                            <w:snapToGrid w:val="0"/>
                            <w:rPr>
                              <w:sz w:val="28"/>
                              <w:szCs w:val="28"/>
                            </w:rPr>
                          </w:pP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10pt;margin-top:-0.3pt;height:15.9pt;width:83.7pt;mso-position-horizontal-relative:margin;z-index:251661312;mso-width-relative:page;mso-height-relative:page;" filled="f" stroked="f" coordsize="21600,21600" o:gfxdata="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WtLsatUAAAAHAQAADwAAAAAAAAABACAAAAAiAAAAZHJzL2Rvd25yZXYueG1sUEsB&#10;AhQAFAAAAAgAh07iQA5wjJIxAgAAVgQAAA4AAAAAAAAAAQAgAAAAJAEAAGRycy9lMm9Eb2MueG1s&#10;UEsFBgAAAAAGAAYAWQEAAMcFAAAAAA==&#10;">
              <v:fill on="f" focussize="0,0"/>
              <v:stroke on="f" weight="0.5pt"/>
              <v:imagedata o:title=""/>
              <o:lock v:ext="edit" aspectratio="f"/>
              <v:textbox inset="0mm,0mm,0mm,0mm">
                <w:txbxContent>
                  <w:p w14:paraId="3F85F00A">
                    <w:pPr>
                      <w:snapToGrid w:val="0"/>
                      <w:rPr>
                        <w:sz w:val="28"/>
                        <w:szCs w:val="28"/>
                      </w:rPr>
                    </w:pPr>
                  </w:p>
                </w:txbxContent>
              </v:textbox>
            </v:shape>
          </w:pict>
        </mc:Fallback>
      </mc:AlternateContent>
    </w:r>
    <w:r>
      <w:rPr>
        <w:sz w:val="28"/>
      </w:rPr>
      <mc:AlternateContent>
        <mc:Choice Requires="wps">
          <w:drawing>
            <wp:anchor distT="0" distB="0" distL="114300" distR="114300" simplePos="0" relativeHeight="251659264" behindDoc="0" locked="0" layoutInCell="1" allowOverlap="1">
              <wp:simplePos x="0" y="0"/>
              <wp:positionH relativeFrom="margin">
                <wp:posOffset>2540</wp:posOffset>
              </wp:positionH>
              <wp:positionV relativeFrom="paragraph">
                <wp:posOffset>381000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48A902">
                          <w:pPr>
                            <w:snapToGrid w:val="0"/>
                            <w:rPr>
                              <w:sz w:val="18"/>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0.2pt;margin-top:30pt;height:144pt;width:144pt;mso-position-horizontal-relative:margin;mso-wrap-style:none;z-index:251659264;mso-width-relative:page;mso-height-relative:page;" filled="f" stroked="f" coordsize="21600,21600" o:gfxdata="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HUagFDUAAAABwEAAA8AAAAAAAAAAQAgAAAAIgAAAGRycy9kb3ducmV2LnhtbFBLAQIUABQAAAAI&#10;AIdO4kDK3dcMKgIAAFcEAAAOAAAAAAAAAAEAIAAAACMBAABkcnMvZTJvRG9jLnhtbFBLBQYAAAAA&#10;BgAGAFkBAAC/BQAAAAA=&#10;">
              <v:fill on="f" focussize="0,0"/>
              <v:stroke on="f" weight="0.5pt"/>
              <v:imagedata o:title=""/>
              <o:lock v:ext="edit" aspectratio="f"/>
              <v:textbox inset="0mm,0mm,0mm,0mm" style="mso-fit-shape-to-text:t;">
                <w:txbxContent>
                  <w:p w14:paraId="7048A902">
                    <w:pPr>
                      <w:snapToGrid w:val="0"/>
                      <w:rPr>
                        <w:sz w:val="18"/>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170B24">
    <w:pPr>
      <w:pStyle w:val="6"/>
    </w:pPr>
    <w:r>
      <w:rPr>
        <w:sz w:val="18"/>
      </w:rP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B8F255">
                          <w:pPr>
                            <w:pStyle w:val="6"/>
                            <w:rPr>
                              <w:rFonts w:hint="eastAsia" w:asciiTheme="majorEastAsia" w:hAnsiTheme="majorEastAsia" w:eastAsiaTheme="majorEastAsia" w:cstheme="majorEastAsia"/>
                              <w:sz w:val="28"/>
                              <w:szCs w:val="28"/>
                              <w:lang w:val="en"/>
                            </w:rPr>
                          </w:pPr>
                          <w:r>
                            <w:rPr>
                              <w:rFonts w:hint="eastAsia" w:asciiTheme="majorEastAsia" w:hAnsiTheme="majorEastAsia" w:eastAsiaTheme="majorEastAsia" w:cstheme="majorEastAsia"/>
                              <w:sz w:val="28"/>
                              <w:szCs w:val="28"/>
                              <w:lang w:val="en"/>
                            </w:rPr>
                            <w:t xml:space="preserve">— </w:t>
                          </w:r>
                          <w:r>
                            <w:rPr>
                              <w:rFonts w:hint="eastAsia" w:asciiTheme="majorEastAsia" w:hAnsiTheme="majorEastAsia" w:eastAsiaTheme="majorEastAsia" w:cstheme="majorEastAsia"/>
                              <w:sz w:val="28"/>
                              <w:szCs w:val="28"/>
                              <w:lang w:val="en"/>
                            </w:rPr>
                            <w:fldChar w:fldCharType="begin"/>
                          </w:r>
                          <w:r>
                            <w:rPr>
                              <w:rFonts w:hint="eastAsia" w:asciiTheme="majorEastAsia" w:hAnsiTheme="majorEastAsia" w:eastAsiaTheme="majorEastAsia" w:cstheme="majorEastAsia"/>
                              <w:sz w:val="28"/>
                              <w:szCs w:val="28"/>
                              <w:lang w:val="en"/>
                            </w:rPr>
                            <w:instrText xml:space="preserve"> PAGE  \* MERGEFORMAT </w:instrText>
                          </w:r>
                          <w:r>
                            <w:rPr>
                              <w:rFonts w:hint="eastAsia" w:asciiTheme="majorEastAsia" w:hAnsiTheme="majorEastAsia" w:eastAsiaTheme="majorEastAsia" w:cstheme="majorEastAsia"/>
                              <w:sz w:val="28"/>
                              <w:szCs w:val="28"/>
                              <w:lang w:val="en"/>
                            </w:rPr>
                            <w:fldChar w:fldCharType="separate"/>
                          </w:r>
                          <w:r>
                            <w:rPr>
                              <w:rFonts w:hint="eastAsia" w:asciiTheme="majorEastAsia" w:hAnsiTheme="majorEastAsia" w:eastAsiaTheme="majorEastAsia" w:cstheme="majorEastAsia"/>
                              <w:sz w:val="28"/>
                              <w:szCs w:val="28"/>
                              <w:lang w:val="en"/>
                            </w:rPr>
                            <w:t>1</w:t>
                          </w:r>
                          <w:r>
                            <w:rPr>
                              <w:rFonts w:hint="eastAsia" w:asciiTheme="majorEastAsia" w:hAnsiTheme="majorEastAsia" w:eastAsiaTheme="majorEastAsia" w:cstheme="majorEastAsia"/>
                              <w:sz w:val="28"/>
                              <w:szCs w:val="28"/>
                              <w:lang w:val="en"/>
                            </w:rPr>
                            <w:fldChar w:fldCharType="end"/>
                          </w:r>
                          <w:r>
                            <w:rPr>
                              <w:rFonts w:hint="eastAsia" w:asciiTheme="majorEastAsia" w:hAnsiTheme="majorEastAsia" w:eastAsiaTheme="majorEastAsia" w:cstheme="majorEastAsia"/>
                              <w:sz w:val="28"/>
                              <w:szCs w:val="28"/>
                              <w:lang w:val="e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1FB8F255">
                    <w:pPr>
                      <w:pStyle w:val="6"/>
                      <w:rPr>
                        <w:rFonts w:hint="eastAsia" w:asciiTheme="majorEastAsia" w:hAnsiTheme="majorEastAsia" w:eastAsiaTheme="majorEastAsia" w:cstheme="majorEastAsia"/>
                        <w:sz w:val="28"/>
                        <w:szCs w:val="28"/>
                        <w:lang w:val="en"/>
                      </w:rPr>
                    </w:pPr>
                    <w:r>
                      <w:rPr>
                        <w:rFonts w:hint="eastAsia" w:asciiTheme="majorEastAsia" w:hAnsiTheme="majorEastAsia" w:eastAsiaTheme="majorEastAsia" w:cstheme="majorEastAsia"/>
                        <w:sz w:val="28"/>
                        <w:szCs w:val="28"/>
                        <w:lang w:val="en"/>
                      </w:rPr>
                      <w:t xml:space="preserve">— </w:t>
                    </w:r>
                    <w:r>
                      <w:rPr>
                        <w:rFonts w:hint="eastAsia" w:asciiTheme="majorEastAsia" w:hAnsiTheme="majorEastAsia" w:eastAsiaTheme="majorEastAsia" w:cstheme="majorEastAsia"/>
                        <w:sz w:val="28"/>
                        <w:szCs w:val="28"/>
                        <w:lang w:val="en"/>
                      </w:rPr>
                      <w:fldChar w:fldCharType="begin"/>
                    </w:r>
                    <w:r>
                      <w:rPr>
                        <w:rFonts w:hint="eastAsia" w:asciiTheme="majorEastAsia" w:hAnsiTheme="majorEastAsia" w:eastAsiaTheme="majorEastAsia" w:cstheme="majorEastAsia"/>
                        <w:sz w:val="28"/>
                        <w:szCs w:val="28"/>
                        <w:lang w:val="en"/>
                      </w:rPr>
                      <w:instrText xml:space="preserve"> PAGE  \* MERGEFORMAT </w:instrText>
                    </w:r>
                    <w:r>
                      <w:rPr>
                        <w:rFonts w:hint="eastAsia" w:asciiTheme="majorEastAsia" w:hAnsiTheme="majorEastAsia" w:eastAsiaTheme="majorEastAsia" w:cstheme="majorEastAsia"/>
                        <w:sz w:val="28"/>
                        <w:szCs w:val="28"/>
                        <w:lang w:val="en"/>
                      </w:rPr>
                      <w:fldChar w:fldCharType="separate"/>
                    </w:r>
                    <w:r>
                      <w:rPr>
                        <w:rFonts w:hint="eastAsia" w:asciiTheme="majorEastAsia" w:hAnsiTheme="majorEastAsia" w:eastAsiaTheme="majorEastAsia" w:cstheme="majorEastAsia"/>
                        <w:sz w:val="28"/>
                        <w:szCs w:val="28"/>
                        <w:lang w:val="en"/>
                      </w:rPr>
                      <w:t>1</w:t>
                    </w:r>
                    <w:r>
                      <w:rPr>
                        <w:rFonts w:hint="eastAsia" w:asciiTheme="majorEastAsia" w:hAnsiTheme="majorEastAsia" w:eastAsiaTheme="majorEastAsia" w:cstheme="majorEastAsia"/>
                        <w:sz w:val="28"/>
                        <w:szCs w:val="28"/>
                        <w:lang w:val="en"/>
                      </w:rPr>
                      <w:fldChar w:fldCharType="end"/>
                    </w:r>
                    <w:r>
                      <w:rPr>
                        <w:rFonts w:hint="eastAsia" w:asciiTheme="majorEastAsia" w:hAnsiTheme="majorEastAsia" w:eastAsiaTheme="majorEastAsia" w:cstheme="majorEastAsia"/>
                        <w:sz w:val="28"/>
                        <w:szCs w:val="28"/>
                        <w:lang w:val="en"/>
                      </w:rPr>
                      <w:t xml:space="preserve"> —</w:t>
                    </w:r>
                  </w:p>
                </w:txbxContent>
              </v:textbox>
            </v:shape>
          </w:pict>
        </mc:Fallback>
      </mc:AlternateContent>
    </w:r>
    <w:r>
      <mc:AlternateContent>
        <mc:Choice Requires="wps">
          <w:drawing>
            <wp:anchor distT="0" distB="0" distL="114300" distR="114300" simplePos="0" relativeHeight="251660288" behindDoc="0" locked="0" layoutInCell="1" allowOverlap="1">
              <wp:simplePos x="0" y="0"/>
              <wp:positionH relativeFrom="margin">
                <wp:posOffset>4728210</wp:posOffset>
              </wp:positionH>
              <wp:positionV relativeFrom="paragraph">
                <wp:posOffset>-66675</wp:posOffset>
              </wp:positionV>
              <wp:extent cx="929640" cy="220345"/>
              <wp:effectExtent l="0" t="0" r="0" b="0"/>
              <wp:wrapNone/>
              <wp:docPr id="4" name="文本框 4"/>
              <wp:cNvGraphicFramePr/>
              <a:graphic xmlns:a="http://schemas.openxmlformats.org/drawingml/2006/main">
                <a:graphicData uri="http://schemas.microsoft.com/office/word/2010/wordprocessingShape">
                  <wps:wsp>
                    <wps:cNvSpPr txBox="1"/>
                    <wps:spPr>
                      <a:xfrm>
                        <a:off x="0" y="0"/>
                        <a:ext cx="929640" cy="22034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2E3F2C3">
                          <w:pPr>
                            <w:snapToGrid w:val="0"/>
                            <w:rPr>
                              <w:rFonts w:asciiTheme="minorEastAsia" w:hAnsiTheme="minorEastAsia" w:eastAsiaTheme="minorEastAsia" w:cstheme="minorEastAsia"/>
                              <w:sz w:val="28"/>
                              <w:szCs w:val="28"/>
                            </w:rPr>
                          </w:pP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372.3pt;margin-top:-5.25pt;height:17.35pt;width:73.2pt;mso-position-horizontal-relative:margin;z-index:251660288;mso-width-relative:page;mso-height-relative:page;" filled="f" stroked="f" coordsize="21600,21600" o:gfxdata="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AxDqAe2QAAAAoBAAAPAAAAAAAAAAEAIAAAACIAAABkcnMvZG93bnJldi54&#10;bWxQSwECFAAUAAAACACHTuJAIqNZOTICAABVBAAADgAAAAAAAAABACAAAAAoAQAAZHJzL2Uyb0Rv&#10;Yy54bWxQSwUGAAAAAAYABgBZAQAAzAUAAAAA&#10;">
              <v:fill on="f" focussize="0,0"/>
              <v:stroke on="f" weight="0.5pt"/>
              <v:imagedata o:title=""/>
              <o:lock v:ext="edit" aspectratio="f"/>
              <v:textbox inset="0mm,0mm,0mm,0mm">
                <w:txbxContent>
                  <w:p w14:paraId="42E3F2C3">
                    <w:pPr>
                      <w:snapToGrid w:val="0"/>
                      <w:rPr>
                        <w:rFonts w:asciiTheme="minorEastAsia" w:hAnsiTheme="minorEastAsia" w:eastAsiaTheme="minorEastAsia" w:cstheme="minorEastAsia"/>
                        <w:sz w:val="28"/>
                        <w:szCs w:val="28"/>
                      </w:rPr>
                    </w:pPr>
                  </w:p>
                </w:txbxContent>
              </v:textbox>
            </v:shape>
          </w:pict>
        </mc:Fallback>
      </mc:AlternateContent>
    </w:r>
    <w:r>
      <w:rPr>
        <w:rFonts w:hint="eastAsia"/>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8BD9CD">
    <w:pPr>
      <w:pStyle w:val="6"/>
      <w:jc w:val="center"/>
      <w:rPr>
        <w:sz w:val="28"/>
      </w:rP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15CA877D">
                          <w:pPr>
                            <w:pStyle w:val="6"/>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LNJWO7QAAAABQEAAA8AAAAAAAAAAQAgAAAAIgAAAGRycy9k&#10;b3ducmV2LnhtbFBLAQIUABQAAAAIAIdO4kAslDbw0QEAAKIDAAAOAAAAAAAAAAEAIAAAAB8BAABk&#10;cnMvZTJvRG9jLnhtbFBLBQYAAAAABgAGAFkBAABiBQAAAAA=&#10;">
              <v:fill on="f" focussize="0,0"/>
              <v:stroke on="f" weight="0.5pt"/>
              <v:imagedata o:title=""/>
              <o:lock v:ext="edit" aspectratio="f"/>
              <v:textbox inset="0mm,0mm,0mm,0mm" style="mso-fit-shape-to-text:t;">
                <w:txbxContent>
                  <w:p w14:paraId="15CA877D">
                    <w:pPr>
                      <w:pStyle w:val="6"/>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p>
                </w:txbxContent>
              </v:textbox>
            </v:shape>
          </w:pict>
        </mc:Fallback>
      </mc:AlternateContent>
    </w:r>
    <w:r>
      <mc:AlternateContent>
        <mc:Choice Requires="wps">
          <w:drawing>
            <wp:anchor distT="0" distB="0" distL="114300" distR="114300" simplePos="0" relativeHeight="251661312" behindDoc="0" locked="0" layoutInCell="1" allowOverlap="1">
              <wp:simplePos x="0" y="0"/>
              <wp:positionH relativeFrom="margin">
                <wp:posOffset>127000</wp:posOffset>
              </wp:positionH>
              <wp:positionV relativeFrom="paragraph">
                <wp:posOffset>-3810</wp:posOffset>
              </wp:positionV>
              <wp:extent cx="1062990" cy="20193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062990" cy="201930"/>
                      </a:xfrm>
                      <a:prstGeom prst="rect">
                        <a:avLst/>
                      </a:prstGeom>
                      <a:noFill/>
                      <a:ln w="6350">
                        <a:noFill/>
                      </a:ln>
                      <a:effectLst/>
                    </wps:spPr>
                    <wps:txbx>
                      <w:txbxContent>
                        <w:p w14:paraId="71C7979F">
                          <w:pPr>
                            <w:snapToGrid w:val="0"/>
                            <w:rPr>
                              <w:sz w:val="28"/>
                              <w:szCs w:val="28"/>
                            </w:rPr>
                          </w:pP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10pt;margin-top:-0.3pt;height:15.9pt;width:83.7pt;mso-position-horizontal-relative:margin;z-index:251661312;mso-width-relative:page;mso-height-relative:page;" filled="f" stroked="f" coordsize="21600,21600" o:gfxdata="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Ba0uxq1QAAAAcBAAAPAAAAAAAAAAEAIAAAACIAAABkcnMvZG93bnJldi54&#10;bWxQSwECFAAUAAAACACHTuJAAAWA1TYCAABkBAAADgAAAAAAAAABACAAAAAkAQAAZHJzL2Uyb0Rv&#10;Yy54bWxQSwUGAAAAAAYABgBZAQAAzAUAAAAA&#10;">
              <v:fill on="f" focussize="0,0"/>
              <v:stroke on="f" weight="0.5pt"/>
              <v:imagedata o:title=""/>
              <o:lock v:ext="edit" aspectratio="f"/>
              <v:textbox inset="0mm,0mm,0mm,0mm">
                <w:txbxContent>
                  <w:p w14:paraId="71C7979F">
                    <w:pPr>
                      <w:snapToGrid w:val="0"/>
                      <w:rPr>
                        <w:sz w:val="28"/>
                        <w:szCs w:val="28"/>
                      </w:rPr>
                    </w:pPr>
                  </w:p>
                </w:txbxContent>
              </v:textbox>
            </v:shape>
          </w:pict>
        </mc:Fallback>
      </mc:AlternateContent>
    </w:r>
    <w:r>
      <w:rPr>
        <w:sz w:val="28"/>
      </w:rPr>
      <mc:AlternateContent>
        <mc:Choice Requires="wps">
          <w:drawing>
            <wp:anchor distT="0" distB="0" distL="114300" distR="114300" simplePos="0" relativeHeight="251659264" behindDoc="0" locked="0" layoutInCell="1" allowOverlap="1">
              <wp:simplePos x="0" y="0"/>
              <wp:positionH relativeFrom="margin">
                <wp:posOffset>2540</wp:posOffset>
              </wp:positionH>
              <wp:positionV relativeFrom="paragraph">
                <wp:posOffset>381000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5CC0D502">
                          <w:pPr>
                            <w:snapToGrid w:val="0"/>
                            <w:rPr>
                              <w:sz w:val="18"/>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0.2pt;margin-top:30pt;height:144pt;width:144pt;mso-position-horizontal-relative:margin;mso-wrap-style:none;z-index:251659264;mso-width-relative:page;mso-height-relative:page;" filled="f" stroked="f" coordsize="21600,21600" o:gfxdata="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B1GoBQ1AAAAAcBAAAPAAAAAAAAAAEAIAAAACIAAABkcnMvZG93bnJldi54bWxQSwEC&#10;FAAUAAAACACHTuJAKyyK1TECAABlBAAADgAAAAAAAAABACAAAAAjAQAAZHJzL2Uyb0RvYy54bWxQ&#10;SwUGAAAAAAYABgBZAQAAxgUAAAAA&#10;">
              <v:fill on="f" focussize="0,0"/>
              <v:stroke on="f" weight="0.5pt"/>
              <v:imagedata o:title=""/>
              <o:lock v:ext="edit" aspectratio="f"/>
              <v:textbox inset="0mm,0mm,0mm,0mm" style="mso-fit-shape-to-text:t;">
                <w:txbxContent>
                  <w:p w14:paraId="5CC0D502">
                    <w:pPr>
                      <w:snapToGrid w:val="0"/>
                      <w:rPr>
                        <w:sz w:val="18"/>
                      </w:rPr>
                    </w:pP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6CC582">
    <w:pPr>
      <w:pStyle w:val="6"/>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767F2DCC">
                          <w:pPr>
                            <w:pStyle w:val="6"/>
                            <w:rPr>
                              <w:rFonts w:hint="eastAsia" w:ascii="宋体" w:hAnsi="宋体" w:eastAsia="宋体" w:cs="宋体"/>
                              <w:sz w:val="28"/>
                              <w:szCs w:val="28"/>
                              <w:lang w:val="en"/>
                            </w:rPr>
                          </w:pPr>
                          <w:r>
                            <w:rPr>
                              <w:rFonts w:hint="eastAsia" w:ascii="宋体" w:hAnsi="宋体" w:eastAsia="宋体" w:cs="宋体"/>
                              <w:sz w:val="28"/>
                              <w:szCs w:val="28"/>
                              <w:lang w:val="en"/>
                            </w:rPr>
                            <w:fldChar w:fldCharType="begin"/>
                          </w:r>
                          <w:r>
                            <w:rPr>
                              <w:rFonts w:hint="eastAsia" w:ascii="宋体" w:hAnsi="宋体" w:eastAsia="宋体" w:cs="宋体"/>
                              <w:sz w:val="28"/>
                              <w:szCs w:val="28"/>
                              <w:lang w:val="en"/>
                            </w:rPr>
                            <w:instrText xml:space="preserve"> PAGE  \* MERGEFORMAT </w:instrText>
                          </w:r>
                          <w:r>
                            <w:rPr>
                              <w:rFonts w:hint="eastAsia" w:ascii="宋体" w:hAnsi="宋体" w:eastAsia="宋体" w:cs="宋体"/>
                              <w:sz w:val="28"/>
                              <w:szCs w:val="28"/>
                              <w:lang w:val="en"/>
                            </w:rPr>
                            <w:fldChar w:fldCharType="separate"/>
                          </w:r>
                          <w:r>
                            <w:rPr>
                              <w:rFonts w:hint="eastAsia" w:ascii="宋体" w:hAnsi="宋体" w:eastAsia="宋体" w:cs="宋体"/>
                              <w:sz w:val="28"/>
                              <w:szCs w:val="28"/>
                              <w:lang w:val="en"/>
                            </w:rPr>
                            <w:t>- 1 -</w:t>
                          </w:r>
                          <w:r>
                            <w:rPr>
                              <w:rFonts w:hint="eastAsia" w:ascii="宋体" w:hAnsi="宋体" w:eastAsia="宋体" w:cs="宋体"/>
                              <w:sz w:val="28"/>
                              <w:szCs w:val="28"/>
                              <w:lang w:val="e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LNJWO7QAAAABQEAAA8AAAAAAAAAAQAgAAAAIgAAAGRycy9k&#10;b3ducmV2LnhtbFBLAQIUABQAAAAIAIdO4kCxuOmM0QEAAKIDAAAOAAAAAAAAAAEAIAAAAB8BAABk&#10;cnMvZTJvRG9jLnhtbFBLBQYAAAAABgAGAFkBAABiBQAAAAA=&#10;">
              <v:fill on="f" focussize="0,0"/>
              <v:stroke on="f" weight="0.5pt"/>
              <v:imagedata o:title=""/>
              <o:lock v:ext="edit" aspectratio="f"/>
              <v:textbox inset="0mm,0mm,0mm,0mm" style="mso-fit-shape-to-text:t;">
                <w:txbxContent>
                  <w:p w14:paraId="767F2DCC">
                    <w:pPr>
                      <w:pStyle w:val="6"/>
                      <w:rPr>
                        <w:rFonts w:hint="eastAsia" w:ascii="宋体" w:hAnsi="宋体" w:eastAsia="宋体" w:cs="宋体"/>
                        <w:sz w:val="28"/>
                        <w:szCs w:val="28"/>
                        <w:lang w:val="en"/>
                      </w:rPr>
                    </w:pPr>
                    <w:r>
                      <w:rPr>
                        <w:rFonts w:hint="eastAsia" w:ascii="宋体" w:hAnsi="宋体" w:eastAsia="宋体" w:cs="宋体"/>
                        <w:sz w:val="28"/>
                        <w:szCs w:val="28"/>
                        <w:lang w:val="en"/>
                      </w:rPr>
                      <w:fldChar w:fldCharType="begin"/>
                    </w:r>
                    <w:r>
                      <w:rPr>
                        <w:rFonts w:hint="eastAsia" w:ascii="宋体" w:hAnsi="宋体" w:eastAsia="宋体" w:cs="宋体"/>
                        <w:sz w:val="28"/>
                        <w:szCs w:val="28"/>
                        <w:lang w:val="en"/>
                      </w:rPr>
                      <w:instrText xml:space="preserve"> PAGE  \* MERGEFORMAT </w:instrText>
                    </w:r>
                    <w:r>
                      <w:rPr>
                        <w:rFonts w:hint="eastAsia" w:ascii="宋体" w:hAnsi="宋体" w:eastAsia="宋体" w:cs="宋体"/>
                        <w:sz w:val="28"/>
                        <w:szCs w:val="28"/>
                        <w:lang w:val="en"/>
                      </w:rPr>
                      <w:fldChar w:fldCharType="separate"/>
                    </w:r>
                    <w:r>
                      <w:rPr>
                        <w:rFonts w:hint="eastAsia" w:ascii="宋体" w:hAnsi="宋体" w:eastAsia="宋体" w:cs="宋体"/>
                        <w:sz w:val="28"/>
                        <w:szCs w:val="28"/>
                        <w:lang w:val="en"/>
                      </w:rPr>
                      <w:t>- 1 -</w:t>
                    </w:r>
                    <w:r>
                      <w:rPr>
                        <w:rFonts w:hint="eastAsia" w:ascii="宋体" w:hAnsi="宋体" w:eastAsia="宋体" w:cs="宋体"/>
                        <w:sz w:val="28"/>
                        <w:szCs w:val="28"/>
                        <w:lang w:val="en"/>
                      </w:rPr>
                      <w:fldChar w:fldCharType="end"/>
                    </w:r>
                  </w:p>
                </w:txbxContent>
              </v:textbox>
            </v:shape>
          </w:pict>
        </mc:Fallback>
      </mc:AlternateContent>
    </w:r>
    <w:r>
      <mc:AlternateContent>
        <mc:Choice Requires="wps">
          <w:drawing>
            <wp:anchor distT="0" distB="0" distL="114300" distR="114300" simplePos="0" relativeHeight="251660288" behindDoc="0" locked="0" layoutInCell="1" allowOverlap="1">
              <wp:simplePos x="0" y="0"/>
              <wp:positionH relativeFrom="margin">
                <wp:posOffset>4728210</wp:posOffset>
              </wp:positionH>
              <wp:positionV relativeFrom="paragraph">
                <wp:posOffset>-66675</wp:posOffset>
              </wp:positionV>
              <wp:extent cx="929640" cy="220345"/>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929640" cy="220345"/>
                      </a:xfrm>
                      <a:prstGeom prst="rect">
                        <a:avLst/>
                      </a:prstGeom>
                      <a:noFill/>
                      <a:ln w="6350">
                        <a:noFill/>
                      </a:ln>
                      <a:effectLst/>
                    </wps:spPr>
                    <wps:txbx>
                      <w:txbxContent>
                        <w:p w14:paraId="14BE18A2">
                          <w:pPr>
                            <w:snapToGrid w:val="0"/>
                            <w:rPr>
                              <w:rFonts w:ascii="宋体" w:hAnsi="宋体" w:eastAsia="宋体" w:cs="宋体"/>
                              <w:sz w:val="28"/>
                              <w:szCs w:val="28"/>
                            </w:rPr>
                          </w:pP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372.3pt;margin-top:-5.25pt;height:17.35pt;width:73.2pt;mso-position-horizontal-relative:margin;z-index:251660288;mso-width-relative:page;mso-height-relative:page;" filled="f" stroked="f" coordsize="21600,21600" o:gfxdata="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MQ6gHtkAAAAKAQAADwAAAAAAAAABACAAAAAiAAAAZHJzL2Rv&#10;d25yZXYueG1sUEsBAhQAFAAAAAgAh07iQEeLjtc5AgAAZQQAAA4AAAAAAAAAAQAgAAAAKAEAAGRy&#10;cy9lMm9Eb2MueG1sUEsFBgAAAAAGAAYAWQEAANMFAAAAAA==&#10;">
              <v:fill on="f" focussize="0,0"/>
              <v:stroke on="f" weight="0.5pt"/>
              <v:imagedata o:title=""/>
              <o:lock v:ext="edit" aspectratio="f"/>
              <v:textbox inset="0mm,0mm,0mm,0mm">
                <w:txbxContent>
                  <w:p w14:paraId="14BE18A2">
                    <w:pPr>
                      <w:snapToGrid w:val="0"/>
                      <w:rPr>
                        <w:rFonts w:ascii="宋体" w:hAnsi="宋体" w:eastAsia="宋体" w:cs="宋体"/>
                        <w:sz w:val="28"/>
                        <w:szCs w:val="28"/>
                      </w:rPr>
                    </w:pPr>
                  </w:p>
                </w:txbxContent>
              </v:textbox>
            </v:shape>
          </w:pict>
        </mc:Fallback>
      </mc:AlternateContent>
    </w:r>
    <w:r>
      <w:rPr>
        <w:rFonts w:hint="eastAsia"/>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3161E4">
    <w:pPr>
      <w:pStyle w:val="7"/>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9BAC12">
    <w:pPr>
      <w:pStyle w:val="7"/>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D6A014">
    <w:pPr>
      <w:pStyle w:val="7"/>
      <w:pBdr>
        <w:bottom w:val="none" w:color="auto" w:sz="0" w:space="0"/>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91F21C">
    <w:pPr>
      <w:pStyle w:val="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DE9DF7"/>
    <w:multiLevelType w:val="singleLevel"/>
    <w:tmpl w:val="BFDE9DF7"/>
    <w:lvl w:ilvl="0" w:tentative="0">
      <w:start w:val="3"/>
      <w:numFmt w:val="decimal"/>
      <w:lvlText w:val="%1."/>
      <w:lvlJc w:val="left"/>
      <w:pPr>
        <w:tabs>
          <w:tab w:val="left" w:pos="312"/>
        </w:tabs>
        <w:ind w:left="1689" w:leftChars="0" w:firstLine="0" w:firstLineChars="0"/>
      </w:pPr>
    </w:lvl>
  </w:abstractNum>
  <w:abstractNum w:abstractNumId="1">
    <w:nsid w:val="D35EB828"/>
    <w:multiLevelType w:val="singleLevel"/>
    <w:tmpl w:val="D35EB828"/>
    <w:lvl w:ilvl="0" w:tentative="0">
      <w:start w:val="3"/>
      <w:numFmt w:val="chineseCounting"/>
      <w:suff w:val="nothing"/>
      <w:lvlText w:val="（%1）"/>
      <w:lvlJc w:val="left"/>
      <w:rPr>
        <w:rFonts w:hint="eastAsia"/>
      </w:rPr>
    </w:lvl>
  </w:abstractNum>
  <w:abstractNum w:abstractNumId="2">
    <w:nsid w:val="68EDB3AC"/>
    <w:multiLevelType w:val="singleLevel"/>
    <w:tmpl w:val="68EDB3AC"/>
    <w:lvl w:ilvl="0" w:tentative="0">
      <w:start w:val="9"/>
      <w:numFmt w:val="chineseCounting"/>
      <w:suff w:val="nothing"/>
      <w:lvlText w:val="（%1）"/>
      <w:lvlJc w:val="left"/>
    </w:lvl>
  </w:abstractNum>
  <w:abstractNum w:abstractNumId="3">
    <w:nsid w:val="6AD180B8"/>
    <w:multiLevelType w:val="singleLevel"/>
    <w:tmpl w:val="6AD180B8"/>
    <w:lvl w:ilvl="0" w:tentative="0">
      <w:start w:val="3"/>
      <w:numFmt w:val="chineseCounting"/>
      <w:suff w:val="nothing"/>
      <w:lvlText w:val="%1、"/>
      <w:lvlJc w:val="left"/>
    </w:lvl>
  </w:abstractNum>
  <w:abstractNum w:abstractNumId="4">
    <w:nsid w:val="6AE31B87"/>
    <w:multiLevelType w:val="singleLevel"/>
    <w:tmpl w:val="6AE31B87"/>
    <w:lvl w:ilvl="0" w:tentative="0">
      <w:start w:val="1"/>
      <w:numFmt w:val="chineseCounting"/>
      <w:suff w:val="nothing"/>
      <w:lvlText w:val="%1、"/>
      <w:lvlJc w:val="left"/>
    </w:lvl>
  </w:abstractNum>
  <w:abstractNum w:abstractNumId="5">
    <w:nsid w:val="7CA78940"/>
    <w:multiLevelType w:val="singleLevel"/>
    <w:tmpl w:val="7CA78940"/>
    <w:lvl w:ilvl="0" w:tentative="0">
      <w:start w:val="1"/>
      <w:numFmt w:val="decimal"/>
      <w:lvlText w:val="%1."/>
      <w:lvlJc w:val="left"/>
      <w:pPr>
        <w:tabs>
          <w:tab w:val="left" w:pos="312"/>
        </w:tabs>
      </w:pPr>
    </w:lvl>
  </w:abstractNum>
  <w:num w:numId="1">
    <w:abstractNumId w:val="1"/>
  </w:num>
  <w:num w:numId="2">
    <w:abstractNumId w:val="2"/>
  </w:num>
  <w:num w:numId="3">
    <w:abstractNumId w:val="0"/>
  </w:num>
  <w:num w:numId="4">
    <w:abstractNumId w:val="5"/>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2055E1"/>
    <w:rsid w:val="07787FE2"/>
    <w:rsid w:val="124B075F"/>
    <w:rsid w:val="13957CCE"/>
    <w:rsid w:val="140E4F93"/>
    <w:rsid w:val="1F9FD63A"/>
    <w:rsid w:val="23ED759E"/>
    <w:rsid w:val="245D5194"/>
    <w:rsid w:val="280034EE"/>
    <w:rsid w:val="325F5075"/>
    <w:rsid w:val="32B60C59"/>
    <w:rsid w:val="39EFCA6A"/>
    <w:rsid w:val="3DFC0AEE"/>
    <w:rsid w:val="3F1366CD"/>
    <w:rsid w:val="3FFB7CE5"/>
    <w:rsid w:val="41AC06CA"/>
    <w:rsid w:val="44ED3045"/>
    <w:rsid w:val="473C0FDA"/>
    <w:rsid w:val="4D7F02B9"/>
    <w:rsid w:val="52644302"/>
    <w:rsid w:val="5BDF7054"/>
    <w:rsid w:val="5FF311C1"/>
    <w:rsid w:val="6BFEF03F"/>
    <w:rsid w:val="6E267494"/>
    <w:rsid w:val="6E293B49"/>
    <w:rsid w:val="6FF7180C"/>
    <w:rsid w:val="7537B3F3"/>
    <w:rsid w:val="76DFE85E"/>
    <w:rsid w:val="7B5DEF88"/>
    <w:rsid w:val="7CFCDD70"/>
    <w:rsid w:val="7ED42300"/>
    <w:rsid w:val="7EE75124"/>
    <w:rsid w:val="7EFA8E36"/>
    <w:rsid w:val="7F796ECF"/>
    <w:rsid w:val="7FBD8685"/>
    <w:rsid w:val="869EA368"/>
    <w:rsid w:val="86BD710D"/>
    <w:rsid w:val="AFFCCD59"/>
    <w:rsid w:val="B0F9D8BC"/>
    <w:rsid w:val="B7FFC7D3"/>
    <w:rsid w:val="BFC39316"/>
    <w:rsid w:val="D5ED13D1"/>
    <w:rsid w:val="DBF32C03"/>
    <w:rsid w:val="DFDB6628"/>
    <w:rsid w:val="DFF9844E"/>
    <w:rsid w:val="F5CCDAC0"/>
    <w:rsid w:val="F9FFC938"/>
    <w:rsid w:val="FDFD59B7"/>
    <w:rsid w:val="FF1F62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14">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2">
    <w:name w:val="Body Text First Indent"/>
    <w:basedOn w:val="3"/>
    <w:qFormat/>
    <w:uiPriority w:val="0"/>
    <w:pPr>
      <w:ind w:firstLine="420" w:firstLineChars="100"/>
    </w:pPr>
    <w:rPr>
      <w:rFonts w:ascii="Calibri" w:hAnsi="Calibri" w:eastAsia="宋体"/>
      <w:kern w:val="0"/>
      <w:sz w:val="20"/>
      <w:szCs w:val="20"/>
    </w:rPr>
  </w:style>
  <w:style w:type="paragraph" w:styleId="3">
    <w:name w:val="Body Text"/>
    <w:basedOn w:val="1"/>
    <w:qFormat/>
    <w:uiPriority w:val="0"/>
    <w:pPr>
      <w:spacing w:before="0" w:after="140" w:line="276" w:lineRule="auto"/>
    </w:pPr>
  </w:style>
  <w:style w:type="paragraph" w:styleId="4">
    <w:name w:val="annotation text"/>
    <w:basedOn w:val="1"/>
    <w:qFormat/>
    <w:uiPriority w:val="0"/>
    <w:pPr>
      <w:jc w:val="left"/>
    </w:pPr>
  </w:style>
  <w:style w:type="paragraph" w:styleId="5">
    <w:name w:val="Body Text Indent"/>
    <w:basedOn w:val="1"/>
    <w:qFormat/>
    <w:uiPriority w:val="0"/>
    <w:pPr>
      <w:ind w:firstLine="359" w:firstLineChars="171"/>
    </w:p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8">
    <w:name w:val="index heading"/>
    <w:basedOn w:val="1"/>
    <w:next w:val="9"/>
    <w:qFormat/>
    <w:uiPriority w:val="0"/>
    <w:rPr>
      <w:rFonts w:ascii="宋体" w:hAnsi="宋体" w:cs="宋体"/>
    </w:rPr>
  </w:style>
  <w:style w:type="paragraph" w:styleId="9">
    <w:name w:val="index 1"/>
    <w:basedOn w:val="1"/>
    <w:next w:val="1"/>
    <w:qFormat/>
    <w:uiPriority w:val="0"/>
  </w:style>
  <w:style w:type="paragraph" w:styleId="10">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11">
    <w:name w:val="Body Text First Indent 2"/>
    <w:basedOn w:val="5"/>
    <w:qFormat/>
    <w:uiPriority w:val="0"/>
    <w:pPr>
      <w:ind w:firstLine="420" w:firstLineChars="200"/>
    </w:pPr>
    <w:rPr>
      <w:sz w:val="21"/>
      <w:szCs w:val="28"/>
      <w:lang w:bidi="mn-Mong-CN"/>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qFormat/>
    <w:uiPriority w:val="0"/>
    <w:rPr>
      <w:b/>
    </w:rPr>
  </w:style>
  <w:style w:type="paragraph" w:customStyle="1" w:styleId="16">
    <w:name w:val="Body text|1"/>
    <w:basedOn w:val="1"/>
    <w:qFormat/>
    <w:uiPriority w:val="0"/>
    <w:pPr>
      <w:spacing w:line="422" w:lineRule="auto"/>
      <w:ind w:firstLine="400"/>
    </w:pPr>
    <w:rPr>
      <w:rFonts w:ascii="宋体" w:hAnsi="宋体" w:eastAsia="宋体" w:cs="宋体"/>
      <w:sz w:val="30"/>
      <w:szCs w:val="30"/>
      <w:lang w:val="zh-TW" w:eastAsia="zh-TW" w:bidi="zh-TW"/>
    </w:rPr>
  </w:style>
  <w:style w:type="paragraph" w:customStyle="1" w:styleId="17">
    <w:name w:val="p16"/>
    <w:basedOn w:val="1"/>
    <w:qFormat/>
    <w:uiPriority w:val="0"/>
    <w:pPr>
      <w:widowControl/>
    </w:pPr>
    <w:rPr>
      <w:kern w:val="0"/>
      <w:szCs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http://portal.fj.cegn.cn:8081/lw-zwbg-cloud//core/upload/2026/11/03/20261103043723299.bmp" TargetMode="External"/><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Info spid="_x0000_s205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70</Pages>
  <Words>12708</Words>
  <Characters>13675</Characters>
  <Lines>0</Lines>
  <Paragraphs>0</Paragraphs>
  <TotalTime>4</TotalTime>
  <ScaleCrop>false</ScaleCrop>
  <LinksUpToDate>false</LinksUpToDate>
  <CharactersWithSpaces>13955</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2014-11-07T12:08:00Z</dcterms:created>
  <dc:creator>hp</dc:creator>
  <cp:lastModifiedBy>kjt</cp:lastModifiedBy>
  <cp:lastPrinted>2026-11-01T19:34:00Z</cp:lastPrinted>
  <dcterms:modified xsi:type="dcterms:W3CDTF">2026-11-04T17:09:42Z</dcterms:modified>
  <dc:title>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AF91851B907B51C3DE1DE86A5A9746A6_43</vt:lpwstr>
  </property>
  <property fmtid="{D5CDD505-2E9C-101B-9397-08002B2CF9AE}" pid="4" name="KSOTemplateDocerSaveRecord">
    <vt:lpwstr>eyJoZGlkIjoiNDMxZDE4ODBiZDk1MDE0ZTg0ZTg4ODQ1ZWVhYTMwNDMiLCJ1c2VySWQiOiI0NjE2NDU1NTEifQ==</vt:lpwstr>
  </property>
</Properties>
</file>