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1B316A">
      <w:pPr>
        <w:widowControl/>
        <w:spacing w:line="600" w:lineRule="exact"/>
        <w:jc w:val="right"/>
        <w:rPr>
          <w:rFonts w:hint="eastAsia" w:ascii="仿宋_GB2312" w:hAnsi="宋体" w:eastAsia="仿宋_GB2312" w:cs="宋体"/>
          <w:kern w:val="0"/>
          <w:sz w:val="32"/>
          <w:szCs w:val="32"/>
        </w:rPr>
      </w:pPr>
    </w:p>
    <w:p w14:paraId="52707A2F">
      <w:pPr>
        <w:widowControl/>
        <w:spacing w:line="600" w:lineRule="exact"/>
        <w:jc w:val="right"/>
        <w:rPr>
          <w:rFonts w:hint="eastAsia" w:ascii="仿宋_GB2312" w:hAnsi="宋体" w:eastAsia="仿宋_GB2312" w:cs="宋体"/>
          <w:kern w:val="0"/>
          <w:sz w:val="32"/>
          <w:szCs w:val="32"/>
        </w:rPr>
      </w:pPr>
    </w:p>
    <w:p w14:paraId="54F5855F">
      <w:pPr>
        <w:widowControl/>
        <w:spacing w:line="600" w:lineRule="exact"/>
        <w:jc w:val="right"/>
        <w:rPr>
          <w:rFonts w:hint="eastAsia" w:ascii="仿宋_GB2312" w:hAnsi="宋体" w:eastAsia="仿宋_GB2312" w:cs="宋体"/>
          <w:kern w:val="0"/>
          <w:sz w:val="32"/>
          <w:szCs w:val="32"/>
        </w:rPr>
      </w:pPr>
    </w:p>
    <w:p w14:paraId="2C948460">
      <w:pPr>
        <w:widowControl/>
        <w:spacing w:line="600" w:lineRule="exact"/>
        <w:jc w:val="right"/>
        <w:rPr>
          <w:rFonts w:hint="eastAsia" w:ascii="仿宋_GB2312" w:hAnsi="宋体" w:eastAsia="仿宋_GB2312" w:cs="宋体"/>
          <w:kern w:val="0"/>
          <w:sz w:val="32"/>
          <w:szCs w:val="32"/>
        </w:rPr>
      </w:pPr>
      <w:r>
        <w:rPr>
          <w:rFonts w:hint="eastAsia" w:ascii="仿宋_GB2312" w:hAnsi="宋体" w:eastAsia="仿宋_GB2312" w:cs="宋体"/>
          <w:kern w:val="0"/>
          <w:sz w:val="32"/>
          <w:szCs w:val="32"/>
        </w:rPr>
        <w:fldChar w:fldCharType="begin"/>
      </w:r>
      <w:r>
        <w:rPr>
          <w:rFonts w:hint="eastAsia" w:ascii="仿宋_GB2312" w:hAnsi="宋体" w:eastAsia="仿宋_GB2312" w:cs="宋体"/>
          <w:kern w:val="0"/>
          <w:sz w:val="32"/>
          <w:szCs w:val="32"/>
        </w:rPr>
        <w:instrText xml:space="preserve"> MERGEFIELD  发文编号 </w:instrText>
      </w:r>
      <w:r>
        <w:rPr>
          <w:rFonts w:hint="eastAsia" w:ascii="仿宋_GB2312" w:hAnsi="宋体" w:eastAsia="仿宋_GB2312" w:cs="宋体"/>
          <w:kern w:val="0"/>
          <w:sz w:val="32"/>
          <w:szCs w:val="32"/>
        </w:rPr>
        <w:fldChar w:fldCharType="separate"/>
      </w:r>
      <w:r>
        <w:rPr>
          <w:rFonts w:hint="eastAsia" w:ascii="仿宋_GB2312" w:hAnsi="宋体" w:eastAsia="仿宋_GB2312" w:cs="宋体"/>
          <w:kern w:val="0"/>
          <w:sz w:val="32"/>
          <w:szCs w:val="32"/>
        </w:rPr>
        <w:t>闽科农函〔202</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59</w:t>
      </w:r>
      <w:r>
        <w:rPr>
          <w:rFonts w:hint="eastAsia" w:ascii="仿宋_GB2312" w:hAnsi="宋体" w:eastAsia="仿宋_GB2312" w:cs="宋体"/>
          <w:kern w:val="0"/>
          <w:sz w:val="32"/>
          <w:szCs w:val="32"/>
        </w:rPr>
        <w:t>号</w:t>
      </w:r>
      <w:r>
        <w:rPr>
          <w:rFonts w:hint="eastAsia" w:ascii="仿宋_GB2312" w:hAnsi="宋体" w:eastAsia="仿宋_GB2312" w:cs="宋体"/>
          <w:kern w:val="0"/>
          <w:sz w:val="32"/>
          <w:szCs w:val="32"/>
        </w:rPr>
        <w:fldChar w:fldCharType="end"/>
      </w:r>
    </w:p>
    <w:p w14:paraId="4F2F4F97">
      <w:pPr>
        <w:widowControl/>
        <w:spacing w:line="640" w:lineRule="exact"/>
        <w:jc w:val="center"/>
        <w:rPr>
          <w:rFonts w:hint="eastAsia" w:ascii="方正小标宋_GBK" w:hAnsi="方正小标宋_GBK" w:eastAsia="方正小标宋_GBK" w:cs="方正小标宋_GBK"/>
          <w:kern w:val="0"/>
          <w:sz w:val="44"/>
          <w:szCs w:val="44"/>
        </w:rPr>
      </w:pPr>
    </w:p>
    <w:p w14:paraId="5612A19C">
      <w:pPr>
        <w:widowControl/>
        <w:spacing w:line="640" w:lineRule="exact"/>
        <w:jc w:val="center"/>
        <w:rPr>
          <w:rFonts w:hint="eastAsia" w:ascii="方正小标宋简体" w:hAnsi="方正小标宋_GBK" w:eastAsia="方正小标宋简体" w:cs="方正小标宋_GBK"/>
          <w:kern w:val="0"/>
          <w:sz w:val="44"/>
          <w:szCs w:val="44"/>
        </w:rPr>
      </w:pPr>
      <w:r>
        <w:rPr>
          <w:rFonts w:hint="eastAsia" w:ascii="方正小标宋简体" w:hAnsi="方正小标宋_GBK" w:eastAsia="方正小标宋简体" w:cs="方正小标宋_GBK"/>
          <w:kern w:val="0"/>
          <w:sz w:val="44"/>
          <w:szCs w:val="44"/>
        </w:rPr>
        <w:t>福建省科学技术厅关于做好202</w:t>
      </w:r>
      <w:r>
        <w:rPr>
          <w:rFonts w:hint="eastAsia" w:ascii="方正小标宋简体" w:hAnsi="方正小标宋_GBK" w:eastAsia="方正小标宋简体" w:cs="方正小标宋_GBK"/>
          <w:kern w:val="0"/>
          <w:sz w:val="44"/>
          <w:szCs w:val="44"/>
          <w:lang w:val="en-US" w:eastAsia="zh-CN"/>
        </w:rPr>
        <w:t>6</w:t>
      </w:r>
      <w:r>
        <w:rPr>
          <w:rFonts w:hint="eastAsia" w:ascii="方正小标宋简体" w:hAnsi="方正小标宋_GBK" w:eastAsia="方正小标宋简体" w:cs="方正小标宋_GBK"/>
          <w:kern w:val="0"/>
          <w:sz w:val="44"/>
          <w:szCs w:val="44"/>
        </w:rPr>
        <w:t>-202</w:t>
      </w:r>
      <w:r>
        <w:rPr>
          <w:rFonts w:hint="eastAsia" w:ascii="方正小标宋简体" w:hAnsi="方正小标宋_GBK" w:eastAsia="方正小标宋简体" w:cs="方正小标宋_GBK"/>
          <w:kern w:val="0"/>
          <w:sz w:val="44"/>
          <w:szCs w:val="44"/>
          <w:lang w:val="en-US" w:eastAsia="zh-CN"/>
        </w:rPr>
        <w:t>7</w:t>
      </w:r>
      <w:r>
        <w:rPr>
          <w:rFonts w:hint="eastAsia" w:ascii="方正小标宋简体" w:hAnsi="方正小标宋_GBK" w:eastAsia="方正小标宋简体" w:cs="方正小标宋_GBK"/>
          <w:kern w:val="0"/>
          <w:sz w:val="44"/>
          <w:szCs w:val="44"/>
        </w:rPr>
        <w:t>年度</w:t>
      </w:r>
    </w:p>
    <w:p w14:paraId="2D37389D">
      <w:pPr>
        <w:widowControl/>
        <w:spacing w:line="640" w:lineRule="exact"/>
        <w:jc w:val="center"/>
        <w:rPr>
          <w:rFonts w:hint="eastAsia" w:ascii="方正小标宋简体" w:hAnsi="方正小标宋_GBK" w:eastAsia="方正小标宋简体" w:cs="方正小标宋_GBK"/>
          <w:kern w:val="0"/>
          <w:sz w:val="44"/>
          <w:szCs w:val="44"/>
        </w:rPr>
      </w:pPr>
      <w:r>
        <w:rPr>
          <w:rFonts w:hint="eastAsia" w:ascii="方正小标宋简体" w:hAnsi="方正小标宋_GBK" w:eastAsia="方正小标宋简体" w:cs="方正小标宋_GBK"/>
          <w:kern w:val="0"/>
          <w:sz w:val="44"/>
          <w:szCs w:val="44"/>
        </w:rPr>
        <w:t>省级科技特派员年度考核工作的通知</w:t>
      </w:r>
    </w:p>
    <w:p w14:paraId="1EC87E3C">
      <w:pPr>
        <w:widowControl/>
        <w:jc w:val="center"/>
        <w:rPr>
          <w:rFonts w:hint="eastAsia" w:ascii="楷体_GB2312" w:hAnsi="Calibri" w:eastAsia="楷体_GB2312" w:cs="宋体"/>
          <w:kern w:val="0"/>
          <w:sz w:val="32"/>
          <w:szCs w:val="32"/>
        </w:rPr>
      </w:pPr>
      <w:r>
        <w:rPr>
          <w:rFonts w:hint="eastAsia" w:ascii="楷体_GB2312" w:hAnsi="Calibri" w:eastAsia="楷体_GB2312" w:cs="宋体"/>
          <w:kern w:val="0"/>
          <w:sz w:val="32"/>
          <w:szCs w:val="32"/>
        </w:rPr>
        <w:t xml:space="preserve"> </w:t>
      </w:r>
    </w:p>
    <w:p w14:paraId="44C8A376">
      <w:pPr>
        <w:widowControl/>
        <w:spacing w:line="600" w:lineRule="exact"/>
        <w:jc w:val="left"/>
        <w:rPr>
          <w:rFonts w:hint="eastAsia" w:ascii="仿宋_GB2312" w:hAnsi="Calibri" w:eastAsia="仿宋_GB2312" w:cs="宋体"/>
          <w:kern w:val="0"/>
          <w:sz w:val="32"/>
          <w:szCs w:val="32"/>
        </w:rPr>
      </w:pPr>
      <w:r>
        <w:rPr>
          <w:rFonts w:hint="eastAsia" w:ascii="仿宋_GB2312" w:hAnsi="宋体" w:eastAsia="仿宋_GB2312" w:cs="宋体"/>
          <w:kern w:val="0"/>
          <w:sz w:val="32"/>
          <w:szCs w:val="32"/>
        </w:rPr>
        <w:t>各设区市科技局、平潭综合实验区经发局，省直有关单位：</w:t>
      </w:r>
    </w:p>
    <w:p w14:paraId="1B1C864E">
      <w:pPr>
        <w:spacing w:before="31" w:after="31" w:line="560" w:lineRule="exact"/>
        <w:ind w:firstLine="640" w:firstLineChars="200"/>
        <w:rPr>
          <w:rFonts w:hint="eastAsia" w:ascii="仿宋_GB2312" w:eastAsia="仿宋_GB2312"/>
          <w:sz w:val="32"/>
          <w:szCs w:val="32"/>
        </w:rPr>
      </w:pPr>
      <w:r>
        <w:rPr>
          <w:rFonts w:hint="eastAsia" w:ascii="仿宋_GB2312" w:hAnsi="宋体" w:eastAsia="仿宋_GB2312" w:cs="宋体"/>
          <w:kern w:val="0"/>
          <w:sz w:val="32"/>
          <w:szCs w:val="32"/>
        </w:rPr>
        <w:t>为进一步加强科技特派员选认后的服务管理，完善科技特派员考核评价机制，</w:t>
      </w:r>
      <w:r>
        <w:rPr>
          <w:rFonts w:hint="eastAsia" w:ascii="仿宋_GB2312" w:eastAsia="仿宋_GB2312"/>
          <w:sz w:val="32"/>
          <w:szCs w:val="32"/>
        </w:rPr>
        <w:t>省科技特派员工作联席会议研究制定了《202</w:t>
      </w:r>
      <w:r>
        <w:rPr>
          <w:rFonts w:hint="eastAsia" w:ascii="仿宋_GB2312" w:eastAsia="仿宋_GB2312"/>
          <w:sz w:val="32"/>
          <w:szCs w:val="32"/>
          <w:lang w:val="en-US" w:eastAsia="zh-CN"/>
        </w:rPr>
        <w:t>6</w:t>
      </w:r>
      <w:r>
        <w:rPr>
          <w:rFonts w:hint="eastAsia" w:ascii="仿宋_GB2312" w:eastAsia="仿宋_GB2312"/>
          <w:sz w:val="32"/>
          <w:szCs w:val="32"/>
        </w:rPr>
        <w:t>-202</w:t>
      </w:r>
      <w:r>
        <w:rPr>
          <w:rFonts w:hint="eastAsia" w:ascii="仿宋_GB2312" w:eastAsia="仿宋_GB2312"/>
          <w:sz w:val="32"/>
          <w:szCs w:val="32"/>
          <w:lang w:val="en-US" w:eastAsia="zh-CN"/>
        </w:rPr>
        <w:t>7</w:t>
      </w:r>
      <w:r>
        <w:rPr>
          <w:rFonts w:hint="eastAsia" w:ascii="仿宋_GB2312" w:eastAsia="仿宋_GB2312"/>
          <w:sz w:val="32"/>
          <w:szCs w:val="32"/>
        </w:rPr>
        <w:t>年度省级科技特派员考核工作方案》，现印发给你们，请认真遵照执行。</w:t>
      </w:r>
    </w:p>
    <w:p w14:paraId="61588217">
      <w:pPr>
        <w:widowControl/>
        <w:spacing w:line="620" w:lineRule="exact"/>
        <w:jc w:val="center"/>
        <w:rPr>
          <w:rFonts w:hint="eastAsia" w:ascii="方正小标宋简体" w:hAnsi="方正小标宋_GBK" w:eastAsia="方正小标宋简体" w:cs="方正小标宋_GBK"/>
          <w:kern w:val="0"/>
          <w:sz w:val="32"/>
          <w:szCs w:val="32"/>
        </w:rPr>
      </w:pPr>
    </w:p>
    <w:p w14:paraId="6E205C3E">
      <w:pPr>
        <w:widowControl/>
        <w:spacing w:line="620" w:lineRule="exact"/>
        <w:ind w:firstLine="640" w:firstLineChars="200"/>
        <w:rPr>
          <w:rFonts w:hint="eastAsia" w:ascii="黑体" w:hAnsi="宋体" w:eastAsia="黑体" w:cs="宋体"/>
          <w:kern w:val="0"/>
          <w:sz w:val="32"/>
          <w:szCs w:val="32"/>
        </w:rPr>
      </w:pPr>
    </w:p>
    <w:p w14:paraId="3DECFD4D">
      <w:pPr>
        <w:pStyle w:val="2"/>
        <w:rPr>
          <w:rFonts w:hint="eastAsia"/>
        </w:rPr>
      </w:pPr>
    </w:p>
    <w:p w14:paraId="63B3BFDD">
      <w:pPr>
        <w:widowControl/>
        <w:spacing w:line="600" w:lineRule="exact"/>
        <w:ind w:firstLine="640"/>
        <w:rPr>
          <w:rFonts w:hint="eastAsia" w:ascii="仿宋_GB2312" w:hAnsi="Calibri" w:eastAsia="仿宋_GB2312" w:cs="宋体"/>
          <w:kern w:val="0"/>
          <w:sz w:val="32"/>
          <w:szCs w:val="32"/>
        </w:rPr>
      </w:pPr>
      <w:r>
        <w:rPr>
          <w:rFonts w:hint="eastAsia" w:ascii="仿宋_GB2312" w:hAnsi="宋体" w:eastAsia="仿宋_GB2312" w:cs="宋体"/>
          <w:kern w:val="0"/>
          <w:sz w:val="32"/>
          <w:szCs w:val="32"/>
        </w:rPr>
        <w:t xml:space="preserve">                            福建省科学技术厅</w:t>
      </w:r>
    </w:p>
    <w:p w14:paraId="266D7055">
      <w:pPr>
        <w:widowControl/>
        <w:spacing w:line="600" w:lineRule="exact"/>
        <w:ind w:firstLine="640"/>
        <w:jc w:val="center"/>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                      202</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8</w:t>
      </w:r>
      <w:r>
        <w:rPr>
          <w:rFonts w:hint="eastAsia"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7</w:t>
      </w:r>
      <w:r>
        <w:rPr>
          <w:rFonts w:hint="eastAsia" w:ascii="仿宋_GB2312" w:hAnsi="宋体" w:eastAsia="仿宋_GB2312" w:cs="宋体"/>
          <w:kern w:val="0"/>
          <w:sz w:val="32"/>
          <w:szCs w:val="32"/>
        </w:rPr>
        <w:t>日</w:t>
      </w:r>
    </w:p>
    <w:p w14:paraId="5EAC1FA3">
      <w:pPr>
        <w:widowControl/>
        <w:spacing w:line="600" w:lineRule="exact"/>
        <w:ind w:firstLine="640"/>
        <w:rPr>
          <w:rFonts w:hint="eastAsia" w:eastAsia="仿宋_GB2312"/>
        </w:rPr>
      </w:pPr>
      <w:r>
        <w:rPr>
          <w:rFonts w:hint="eastAsia" w:ascii="仿宋_GB2312" w:hAnsi="宋体" w:eastAsia="仿宋_GB2312" w:cs="宋体"/>
          <w:kern w:val="0"/>
          <w:sz w:val="32"/>
          <w:szCs w:val="32"/>
        </w:rPr>
        <w:t>（此件主动公开）</w:t>
      </w:r>
    </w:p>
    <w:p w14:paraId="0BA0FDDF">
      <w:pPr>
        <w:pStyle w:val="2"/>
        <w:rPr>
          <w:rFonts w:hint="eastAsia"/>
          <w:lang w:val="en-US" w:eastAsia="zh-CN"/>
        </w:rPr>
      </w:pPr>
    </w:p>
    <w:p w14:paraId="497588EF">
      <w:pPr>
        <w:widowControl/>
        <w:spacing w:line="600" w:lineRule="exact"/>
        <w:jc w:val="center"/>
        <w:rPr>
          <w:rFonts w:hint="eastAsia" w:ascii="方正小标宋简体" w:hAnsi="方正小标宋_GBK" w:eastAsia="方正小标宋简体" w:cs="方正小标宋_GBK"/>
          <w:kern w:val="0"/>
          <w:sz w:val="44"/>
          <w:szCs w:val="44"/>
        </w:rPr>
      </w:pPr>
    </w:p>
    <w:p w14:paraId="17861F63">
      <w:pPr>
        <w:widowControl/>
        <w:spacing w:line="600" w:lineRule="exact"/>
        <w:jc w:val="center"/>
        <w:rPr>
          <w:rFonts w:hint="eastAsia" w:ascii="方正小标宋简体" w:hAnsi="方正小标宋_GBK" w:eastAsia="方正小标宋简体" w:cs="方正小标宋_GBK"/>
          <w:kern w:val="0"/>
          <w:sz w:val="44"/>
          <w:szCs w:val="44"/>
        </w:rPr>
      </w:pPr>
    </w:p>
    <w:p w14:paraId="03C50ACD">
      <w:pPr>
        <w:widowControl/>
        <w:spacing w:line="600" w:lineRule="exact"/>
        <w:jc w:val="center"/>
        <w:rPr>
          <w:rFonts w:hint="eastAsia" w:ascii="方正小标宋简体" w:hAnsi="方正小标宋_GBK" w:eastAsia="方正小标宋简体" w:cs="方正小标宋_GBK"/>
          <w:kern w:val="0"/>
          <w:sz w:val="44"/>
          <w:szCs w:val="44"/>
        </w:rPr>
      </w:pPr>
    </w:p>
    <w:p w14:paraId="68BBDAAA">
      <w:pPr>
        <w:widowControl/>
        <w:spacing w:line="600" w:lineRule="exact"/>
        <w:jc w:val="center"/>
        <w:rPr>
          <w:rFonts w:hint="eastAsia" w:ascii="方正小标宋简体" w:hAnsi="方正小标宋_GBK" w:eastAsia="方正小标宋简体" w:cs="方正小标宋_GBK"/>
          <w:kern w:val="0"/>
          <w:sz w:val="44"/>
          <w:szCs w:val="44"/>
        </w:rPr>
      </w:pPr>
      <w:r>
        <w:rPr>
          <w:rFonts w:hint="eastAsia" w:ascii="方正小标宋简体" w:hAnsi="方正小标宋_GBK" w:eastAsia="方正小标宋简体" w:cs="方正小标宋_GBK"/>
          <w:kern w:val="0"/>
          <w:sz w:val="44"/>
          <w:szCs w:val="44"/>
        </w:rPr>
        <w:t>2026-2027年度省级科技特派员</w:t>
      </w:r>
    </w:p>
    <w:p w14:paraId="4660FE59">
      <w:pPr>
        <w:widowControl/>
        <w:spacing w:line="600" w:lineRule="exact"/>
        <w:jc w:val="center"/>
        <w:rPr>
          <w:rFonts w:hint="eastAsia" w:ascii="方正小标宋简体" w:hAnsi="方正小标宋_GBK" w:eastAsia="方正小标宋简体" w:cs="方正小标宋_GBK"/>
          <w:kern w:val="0"/>
          <w:sz w:val="44"/>
          <w:szCs w:val="44"/>
        </w:rPr>
      </w:pPr>
      <w:r>
        <w:rPr>
          <w:rFonts w:hint="eastAsia" w:ascii="方正小标宋简体" w:hAnsi="方正小标宋_GBK" w:eastAsia="方正小标宋简体" w:cs="方正小标宋_GBK"/>
          <w:kern w:val="0"/>
          <w:sz w:val="44"/>
          <w:szCs w:val="44"/>
        </w:rPr>
        <w:t>考核工作方案</w:t>
      </w:r>
    </w:p>
    <w:p w14:paraId="6BF9AECD">
      <w:pPr>
        <w:widowControl/>
        <w:spacing w:line="620" w:lineRule="exact"/>
        <w:jc w:val="center"/>
        <w:rPr>
          <w:rFonts w:hint="eastAsia" w:ascii="楷体_GB2312" w:hAnsi="Calibri" w:eastAsia="楷体_GB2312" w:cs="宋体"/>
          <w:kern w:val="0"/>
          <w:sz w:val="32"/>
          <w:szCs w:val="32"/>
          <w:lang w:eastAsia="zh-CN"/>
        </w:rPr>
      </w:pPr>
    </w:p>
    <w:p w14:paraId="61A49467">
      <w:pPr>
        <w:widowControl/>
        <w:spacing w:line="60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为深入贯彻落实《中共福建省委办公厅 福建省人民政府办公厅印发〈关于深入推进科技特派员制度服务乡村振兴的若干措施〉的通知》（闽委办发〔2022〕5号）和《关于深化完善科技特派员制度 助力科技赋能乡村振兴发展行动方案》</w:t>
      </w:r>
      <w:r>
        <w:rPr>
          <w:rFonts w:hint="eastAsia" w:ascii="仿宋_GB2312" w:hAnsi="宋体" w:eastAsia="仿宋_GB2312" w:cs="宋体"/>
          <w:kern w:val="0"/>
          <w:sz w:val="32"/>
          <w:szCs w:val="32"/>
          <w:lang w:eastAsia="zh-CN"/>
        </w:rPr>
        <w:t>（</w:t>
      </w:r>
      <w:bookmarkStart w:id="0" w:name="fwh"/>
      <w:r>
        <w:rPr>
          <w:rFonts w:hint="eastAsia" w:ascii="仿宋_GB2312" w:hAnsi="宋体" w:eastAsia="仿宋_GB2312" w:cs="宋体"/>
          <w:kern w:val="0"/>
          <w:sz w:val="32"/>
          <w:szCs w:val="32"/>
          <w:lang w:eastAsia="zh-CN"/>
        </w:rPr>
        <w:t>闽科综〔202</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lang w:eastAsia="zh-CN"/>
        </w:rPr>
        <w:t>号</w:t>
      </w:r>
      <w:bookmarkEnd w:id="0"/>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精神，进一步健全科技特派员选认和服务管理机制，规范省级科技特派员年度绩效评价工作，根据本年度选认工作实际,制定本方案。</w:t>
      </w:r>
    </w:p>
    <w:p w14:paraId="3BDE4A86">
      <w:pPr>
        <w:widowControl/>
        <w:spacing w:line="600" w:lineRule="exact"/>
        <w:ind w:firstLine="640" w:firstLineChars="200"/>
        <w:rPr>
          <w:rFonts w:hint="eastAsia" w:ascii="黑体" w:hAnsi="宋体" w:eastAsia="黑体" w:cs="宋体"/>
          <w:kern w:val="0"/>
          <w:sz w:val="32"/>
          <w:szCs w:val="32"/>
        </w:rPr>
      </w:pPr>
      <w:r>
        <w:rPr>
          <w:rFonts w:hint="eastAsia" w:ascii="黑体" w:hAnsi="宋体" w:eastAsia="黑体" w:cs="宋体"/>
          <w:kern w:val="0"/>
          <w:sz w:val="32"/>
          <w:szCs w:val="32"/>
        </w:rPr>
        <w:t>一、</w:t>
      </w:r>
      <w:r>
        <w:rPr>
          <w:rFonts w:hint="eastAsia" w:ascii="黑体" w:hAnsi="宋体" w:eastAsia="黑体" w:cs="宋体"/>
          <w:bCs/>
          <w:kern w:val="0"/>
          <w:sz w:val="32"/>
          <w:szCs w:val="32"/>
        </w:rPr>
        <w:t>考核对象</w:t>
      </w:r>
    </w:p>
    <w:p w14:paraId="433FE17D">
      <w:pPr>
        <w:widowControl/>
        <w:spacing w:line="600" w:lineRule="exact"/>
        <w:ind w:left="560"/>
        <w:rPr>
          <w:rFonts w:hint="eastAsia" w:ascii="仿宋_GB2312" w:hAnsi="Calibri" w:eastAsia="仿宋_GB2312" w:cs="宋体"/>
          <w:kern w:val="0"/>
          <w:sz w:val="32"/>
          <w:szCs w:val="32"/>
        </w:rPr>
      </w:pPr>
      <w:r>
        <w:rPr>
          <w:rFonts w:hint="eastAsia" w:ascii="仿宋_GB2312" w:hAnsi="宋体" w:eastAsia="仿宋_GB2312" w:cs="宋体"/>
          <w:kern w:val="0"/>
          <w:sz w:val="32"/>
          <w:szCs w:val="32"/>
        </w:rPr>
        <w:t>2026-2027年度选认的省级科技特派员。</w:t>
      </w:r>
    </w:p>
    <w:p w14:paraId="2927BE46">
      <w:pPr>
        <w:widowControl/>
        <w:numPr>
          <w:ilvl w:val="0"/>
          <w:numId w:val="1"/>
        </w:numPr>
        <w:spacing w:line="600" w:lineRule="exact"/>
        <w:ind w:firstLine="640" w:firstLineChars="200"/>
        <w:rPr>
          <w:rFonts w:hint="eastAsia" w:ascii="黑体" w:hAnsi="宋体" w:eastAsia="黑体" w:cs="宋体"/>
          <w:bCs/>
          <w:kern w:val="0"/>
          <w:sz w:val="32"/>
          <w:szCs w:val="32"/>
        </w:rPr>
      </w:pPr>
      <w:r>
        <w:rPr>
          <w:rFonts w:hint="eastAsia" w:ascii="黑体" w:hAnsi="宋体" w:eastAsia="黑体" w:cs="宋体"/>
          <w:bCs/>
          <w:kern w:val="0"/>
          <w:sz w:val="32"/>
          <w:szCs w:val="32"/>
        </w:rPr>
        <w:t>考核管理职责</w:t>
      </w:r>
    </w:p>
    <w:p w14:paraId="450DD7C7">
      <w:pPr>
        <w:widowControl/>
        <w:spacing w:line="600" w:lineRule="exact"/>
        <w:ind w:firstLine="640" w:firstLineChars="200"/>
        <w:rPr>
          <w:rFonts w:hint="eastAsia" w:ascii="黑体" w:hAnsi="Calibri" w:eastAsia="黑体" w:cs="宋体"/>
          <w:kern w:val="0"/>
          <w:sz w:val="32"/>
          <w:szCs w:val="32"/>
        </w:rPr>
      </w:pPr>
      <w:r>
        <w:rPr>
          <w:rFonts w:hint="eastAsia" w:ascii="仿宋_GB2312" w:hAnsi="宋体" w:eastAsia="仿宋_GB2312" w:cs="宋体"/>
          <w:kern w:val="0"/>
          <w:sz w:val="32"/>
          <w:szCs w:val="32"/>
        </w:rPr>
        <w:t>考核工作由省科技厅牵头，各设区市、平潭综合实验区以及有关县（市、区）科技主管部门具体实施。其中，</w:t>
      </w:r>
      <w:r>
        <w:rPr>
          <w:rFonts w:hint="eastAsia" w:ascii="仿宋_GB2312" w:eastAsia="仿宋_GB2312"/>
          <w:sz w:val="32"/>
          <w:szCs w:val="32"/>
        </w:rPr>
        <w:t>援疆援藏援宁省级科技特派员的考核工作由省科技厅牵头，派出单位配合实施。</w:t>
      </w:r>
    </w:p>
    <w:p w14:paraId="6D7A16C4">
      <w:pPr>
        <w:widowControl/>
        <w:spacing w:line="600" w:lineRule="exact"/>
        <w:ind w:firstLine="640" w:firstLineChars="200"/>
        <w:rPr>
          <w:rFonts w:hint="eastAsia" w:ascii="黑体" w:hAnsi="Calibri" w:eastAsia="黑体" w:cs="宋体"/>
          <w:kern w:val="0"/>
          <w:sz w:val="32"/>
          <w:szCs w:val="32"/>
        </w:rPr>
      </w:pPr>
      <w:r>
        <w:rPr>
          <w:rFonts w:hint="eastAsia" w:ascii="黑体" w:hAnsi="Calibri" w:eastAsia="黑体" w:cs="宋体"/>
          <w:kern w:val="0"/>
          <w:sz w:val="32"/>
          <w:szCs w:val="32"/>
        </w:rPr>
        <w:t>三、</w:t>
      </w:r>
      <w:r>
        <w:rPr>
          <w:rFonts w:hint="eastAsia" w:ascii="黑体" w:hAnsi="宋体" w:eastAsia="黑体" w:cs="宋体"/>
          <w:bCs/>
          <w:kern w:val="0"/>
          <w:sz w:val="32"/>
          <w:szCs w:val="32"/>
        </w:rPr>
        <w:t>考核内容和方式</w:t>
      </w:r>
    </w:p>
    <w:p w14:paraId="3D50323B">
      <w:pPr>
        <w:widowControl/>
        <w:spacing w:line="60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考核分为期中考核（2026年度）与期满考核（2026-2027年度），全程依托</w:t>
      </w:r>
      <w:r>
        <w:rPr>
          <w:rFonts w:hint="eastAsia" w:ascii="仿宋_GB2312" w:hAnsi="宋体" w:eastAsia="仿宋_GB2312" w:cs="宋体"/>
          <w:kern w:val="0"/>
          <w:sz w:val="32"/>
          <w:szCs w:val="32"/>
        </w:rPr>
        <w:t>科技特派员服务云平台线上开展</w:t>
      </w:r>
      <w:r>
        <w:rPr>
          <w:rFonts w:hint="eastAsia" w:ascii="仿宋_GB2312" w:hAnsi="宋体" w:eastAsia="仿宋_GB2312" w:cs="宋体"/>
          <w:color w:val="000000"/>
          <w:kern w:val="0"/>
          <w:sz w:val="32"/>
          <w:szCs w:val="32"/>
        </w:rPr>
        <w:t>。</w:t>
      </w:r>
    </w:p>
    <w:p w14:paraId="67EAFE41">
      <w:pPr>
        <w:widowControl/>
        <w:spacing w:line="600" w:lineRule="exact"/>
        <w:ind w:firstLine="640" w:firstLineChars="200"/>
        <w:rPr>
          <w:rFonts w:hint="eastAsia" w:ascii="楷体" w:hAnsi="楷体" w:eastAsia="楷体" w:cs="楷体"/>
          <w:sz w:val="32"/>
          <w:szCs w:val="32"/>
        </w:rPr>
      </w:pPr>
      <w:r>
        <w:rPr>
          <w:rFonts w:hint="eastAsia" w:ascii="楷体" w:hAnsi="楷体" w:eastAsia="楷体" w:cs="楷体"/>
          <w:bCs/>
          <w:kern w:val="0"/>
          <w:sz w:val="32"/>
          <w:szCs w:val="32"/>
        </w:rPr>
        <w:t>（一）</w:t>
      </w:r>
      <w:r>
        <w:rPr>
          <w:rFonts w:hint="eastAsia" w:ascii="楷体" w:hAnsi="楷体" w:eastAsia="楷体" w:cs="楷体"/>
          <w:b/>
          <w:sz w:val="32"/>
          <w:szCs w:val="32"/>
        </w:rPr>
        <w:t>期中考核</w:t>
      </w:r>
    </w:p>
    <w:p w14:paraId="2EF83E17">
      <w:pPr>
        <w:widowControl/>
        <w:spacing w:line="600" w:lineRule="exact"/>
        <w:ind w:firstLine="643" w:firstLineChars="200"/>
        <w:rPr>
          <w:rFonts w:hint="eastAsia" w:ascii="仿宋_GB2312" w:hAnsi="黑体" w:eastAsia="仿宋_GB2312"/>
          <w:b/>
          <w:bCs/>
          <w:sz w:val="32"/>
          <w:szCs w:val="32"/>
        </w:rPr>
      </w:pPr>
      <w:r>
        <w:rPr>
          <w:rFonts w:hint="eastAsia" w:ascii="仿宋_GB2312" w:hAnsi="黑体" w:eastAsia="仿宋_GB2312"/>
          <w:b/>
          <w:bCs/>
          <w:sz w:val="32"/>
          <w:szCs w:val="32"/>
        </w:rPr>
        <w:t>1.考核等次</w:t>
      </w:r>
    </w:p>
    <w:p w14:paraId="259C8B7E">
      <w:pPr>
        <w:widowControl/>
        <w:spacing w:line="60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分为合格、不合格两个等次，综合科技特派员履职情况、</w:t>
      </w:r>
      <w:r>
        <w:rPr>
          <w:rFonts w:hint="eastAsia" w:ascii="仿宋_GB2312" w:hAnsi="宋体" w:eastAsia="仿宋_GB2312" w:cs="宋体"/>
          <w:bCs/>
          <w:kern w:val="0"/>
          <w:sz w:val="32"/>
          <w:szCs w:val="32"/>
        </w:rPr>
        <w:t>服务成效、服务满意度等</w:t>
      </w:r>
      <w:r>
        <w:rPr>
          <w:rFonts w:ascii="仿宋_GB2312" w:hAnsi="宋体" w:eastAsia="仿宋_GB2312" w:cs="宋体"/>
          <w:kern w:val="0"/>
          <w:sz w:val="32"/>
          <w:szCs w:val="32"/>
        </w:rPr>
        <w:t>三</w:t>
      </w:r>
      <w:r>
        <w:rPr>
          <w:rFonts w:hint="eastAsia" w:ascii="仿宋_GB2312" w:hAnsi="宋体" w:eastAsia="仿宋_GB2312" w:cs="宋体"/>
          <w:kern w:val="0"/>
          <w:sz w:val="32"/>
          <w:szCs w:val="32"/>
        </w:rPr>
        <w:t>方面进行评价</w:t>
      </w:r>
      <w:r>
        <w:rPr>
          <w:rFonts w:hint="eastAsia" w:ascii="仿宋_GB2312" w:hAnsi="黑体" w:eastAsia="仿宋_GB2312"/>
          <w:sz w:val="32"/>
          <w:szCs w:val="32"/>
        </w:rPr>
        <w:t>（附件1）</w:t>
      </w:r>
      <w:r>
        <w:rPr>
          <w:rFonts w:hint="eastAsia" w:ascii="仿宋_GB2312" w:hAnsi="宋体" w:eastAsia="仿宋_GB2312" w:cs="宋体"/>
          <w:kern w:val="0"/>
          <w:sz w:val="32"/>
          <w:szCs w:val="32"/>
        </w:rPr>
        <w:t>。</w:t>
      </w:r>
    </w:p>
    <w:p w14:paraId="52C8DCA9">
      <w:pPr>
        <w:widowControl/>
        <w:spacing w:line="600" w:lineRule="exact"/>
        <w:ind w:firstLine="643" w:firstLineChars="200"/>
        <w:rPr>
          <w:rFonts w:hint="eastAsia" w:eastAsia="仿宋_GB2312"/>
          <w:b/>
          <w:bCs/>
        </w:rPr>
      </w:pPr>
      <w:r>
        <w:rPr>
          <w:rFonts w:hint="eastAsia" w:ascii="仿宋_GB2312" w:hAnsi="宋体" w:eastAsia="仿宋_GB2312" w:cs="宋体"/>
          <w:b/>
          <w:bCs/>
          <w:sz w:val="32"/>
          <w:szCs w:val="32"/>
        </w:rPr>
        <w:t>2.</w:t>
      </w:r>
      <w:r>
        <w:rPr>
          <w:rFonts w:hint="eastAsia" w:ascii="仿宋_GB2312" w:hAnsi="黑体" w:eastAsia="仿宋_GB2312"/>
          <w:b/>
          <w:bCs/>
          <w:sz w:val="32"/>
          <w:szCs w:val="32"/>
        </w:rPr>
        <w:t>具体</w:t>
      </w:r>
      <w:r>
        <w:rPr>
          <w:rFonts w:hint="eastAsia" w:ascii="仿宋_GB2312" w:hAnsi="宋体" w:eastAsia="仿宋_GB2312" w:cs="宋体"/>
          <w:b/>
          <w:bCs/>
          <w:sz w:val="32"/>
          <w:szCs w:val="32"/>
        </w:rPr>
        <w:t>考核指标</w:t>
      </w:r>
    </w:p>
    <w:p w14:paraId="1A0A8479">
      <w:pPr>
        <w:pStyle w:val="5"/>
        <w:widowControl/>
        <w:spacing w:line="600" w:lineRule="exact"/>
        <w:ind w:firstLine="640" w:firstLineChars="200"/>
        <w:rPr>
          <w:rFonts w:ascii="仿宋_GB2312" w:hAnsi="宋体" w:eastAsia="仿宋_GB2312" w:cs="宋体"/>
          <w:bCs/>
          <w:kern w:val="0"/>
          <w:sz w:val="32"/>
          <w:szCs w:val="32"/>
        </w:rPr>
      </w:pPr>
      <w:r>
        <w:rPr>
          <w:rFonts w:hint="eastAsia" w:ascii="仿宋_GB2312" w:hAnsi="宋体" w:eastAsia="仿宋_GB2312" w:cs="宋体"/>
          <w:bCs/>
          <w:kern w:val="0"/>
          <w:sz w:val="32"/>
          <w:szCs w:val="32"/>
        </w:rPr>
        <w:t>（</w:t>
      </w:r>
      <w:r>
        <w:rPr>
          <w:rFonts w:ascii="仿宋_GB2312" w:hAnsi="宋体" w:eastAsia="仿宋_GB2312" w:cs="宋体"/>
          <w:bCs/>
          <w:kern w:val="0"/>
          <w:sz w:val="32"/>
          <w:szCs w:val="32"/>
        </w:rPr>
        <w:t>1</w:t>
      </w:r>
      <w:r>
        <w:rPr>
          <w:rFonts w:hint="eastAsia" w:ascii="仿宋_GB2312" w:hAnsi="宋体" w:eastAsia="仿宋_GB2312" w:cs="宋体"/>
          <w:bCs/>
          <w:kern w:val="0"/>
          <w:sz w:val="32"/>
          <w:szCs w:val="32"/>
        </w:rPr>
        <w:t>）履职情况评价。</w:t>
      </w:r>
      <w:r>
        <w:rPr>
          <w:rFonts w:hint="eastAsia" w:ascii="仿宋_GB2312" w:hAnsi="宋体" w:eastAsia="仿宋_GB2312" w:cs="宋体"/>
          <w:kern w:val="0"/>
          <w:sz w:val="32"/>
          <w:szCs w:val="32"/>
        </w:rPr>
        <w:t>自选</w:t>
      </w:r>
      <w:r>
        <w:rPr>
          <w:rFonts w:hint="eastAsia" w:ascii="仿宋_GB2312" w:hAnsi="宋体" w:eastAsia="仿宋_GB2312" w:cs="宋体"/>
          <w:kern w:val="0"/>
          <w:sz w:val="32"/>
          <w:szCs w:val="32"/>
          <w:lang w:eastAsia="zh-CN"/>
        </w:rPr>
        <w:t>认</w:t>
      </w:r>
      <w:r>
        <w:rPr>
          <w:rFonts w:hint="eastAsia" w:ascii="仿宋_GB2312" w:hAnsi="宋体" w:eastAsia="仿宋_GB2312" w:cs="宋体"/>
          <w:kern w:val="0"/>
          <w:sz w:val="32"/>
          <w:szCs w:val="32"/>
        </w:rPr>
        <w:t>结果公告之日起至2027年3月31日，</w:t>
      </w:r>
      <w:r>
        <w:rPr>
          <w:rFonts w:hint="eastAsia" w:ascii="仿宋_GB2312" w:hAnsi="宋体" w:eastAsia="仿宋_GB2312" w:cs="宋体"/>
          <w:bCs/>
          <w:kern w:val="0"/>
          <w:sz w:val="32"/>
          <w:szCs w:val="32"/>
        </w:rPr>
        <w:t>省内科技特派员</w:t>
      </w:r>
      <w:r>
        <w:rPr>
          <w:rFonts w:hint="eastAsia" w:ascii="仿宋_GB2312" w:hAnsi="宋体" w:eastAsia="仿宋_GB2312" w:cs="宋体"/>
          <w:kern w:val="0"/>
          <w:sz w:val="32"/>
          <w:szCs w:val="32"/>
        </w:rPr>
        <w:t>开展现场实地服务累计6天以上（含6天）即为合格；省外科技特派员（</w:t>
      </w:r>
      <w:r>
        <w:rPr>
          <w:rFonts w:hint="eastAsia" w:ascii="仿宋_GB2312" w:hAnsi="宋体" w:eastAsia="仿宋_GB2312" w:cs="宋体"/>
          <w:kern w:val="0"/>
          <w:sz w:val="32"/>
          <w:szCs w:val="32"/>
          <w:shd w:val="clear" w:color="auto" w:fill="FFFFFF"/>
        </w:rPr>
        <w:t>包含服务省外及港澳台外籍科特派</w:t>
      </w:r>
      <w:r>
        <w:rPr>
          <w:rFonts w:hint="eastAsia" w:ascii="仿宋_GB2312" w:hAnsi="宋体" w:eastAsia="仿宋_GB2312" w:cs="宋体"/>
          <w:kern w:val="0"/>
          <w:sz w:val="32"/>
          <w:szCs w:val="32"/>
        </w:rPr>
        <w:t>）开展现场实地服务累计3天以上（含3天）即为合格。科技特派员在开展现场实地服务（含主要服务区域和其他服务区域）时，需要通过“福建科特派”公众号的科特派移动服务工作站记录工作日志、服务位置等信息（具体操作指南见附件5），评价结果分为合格、不合格。如因特殊原因未达到现场实地服务时间的最低要求，经科技特派员本人提出书面申请（说明理由及拟采取的补救措施）并经设区市、平潭综合实验区科技主管部门批准同意，视情况可不予以判定不合格。</w:t>
      </w:r>
    </w:p>
    <w:p w14:paraId="4C1FD283">
      <w:pPr>
        <w:pStyle w:val="5"/>
        <w:ind w:firstLine="640" w:firstLineChars="200"/>
        <w:rPr>
          <w:rFonts w:ascii="仿宋_GB2312" w:hAnsi="宋体" w:eastAsia="仿宋_GB2312" w:cs="宋体"/>
          <w:bCs/>
          <w:kern w:val="0"/>
          <w:sz w:val="32"/>
          <w:szCs w:val="32"/>
        </w:rPr>
      </w:pPr>
      <w:r>
        <w:rPr>
          <w:rFonts w:hint="eastAsia" w:ascii="仿宋_GB2312" w:hAnsi="宋体" w:eastAsia="仿宋_GB2312" w:cs="宋体"/>
          <w:bCs/>
          <w:kern w:val="0"/>
          <w:sz w:val="32"/>
          <w:szCs w:val="32"/>
        </w:rPr>
        <w:t>（</w:t>
      </w:r>
      <w:r>
        <w:rPr>
          <w:rFonts w:ascii="仿宋_GB2312" w:hAnsi="宋体" w:eastAsia="仿宋_GB2312" w:cs="宋体"/>
          <w:bCs/>
          <w:kern w:val="0"/>
          <w:sz w:val="32"/>
          <w:szCs w:val="32"/>
        </w:rPr>
        <w:t>2</w:t>
      </w:r>
      <w:r>
        <w:rPr>
          <w:rFonts w:hint="eastAsia" w:ascii="仿宋_GB2312" w:hAnsi="宋体" w:eastAsia="仿宋_GB2312" w:cs="宋体"/>
          <w:bCs/>
          <w:kern w:val="0"/>
          <w:sz w:val="32"/>
          <w:szCs w:val="32"/>
        </w:rPr>
        <w:t>）服务成效评价。科技特派员须登录福建省科技特派员服务云平台按要求填报期中工作报告</w:t>
      </w:r>
      <w:r>
        <w:rPr>
          <w:rFonts w:hint="eastAsia" w:ascii="仿宋_GB2312" w:hAnsi="宋体" w:eastAsia="仿宋_GB2312" w:cs="宋体"/>
          <w:kern w:val="0"/>
          <w:sz w:val="32"/>
          <w:szCs w:val="32"/>
        </w:rPr>
        <w:t>，由</w:t>
      </w:r>
      <w:r>
        <w:rPr>
          <w:rFonts w:ascii="仿宋_GB2312" w:hAnsi="宋体" w:eastAsia="仿宋_GB2312" w:cs="宋体"/>
          <w:kern w:val="0"/>
          <w:sz w:val="32"/>
          <w:szCs w:val="32"/>
        </w:rPr>
        <w:t>县（市、区）</w:t>
      </w:r>
      <w:r>
        <w:rPr>
          <w:rFonts w:hint="eastAsia" w:ascii="仿宋_GB2312" w:hAnsi="宋体" w:eastAsia="仿宋_GB2312" w:cs="宋体"/>
          <w:kern w:val="0"/>
          <w:sz w:val="32"/>
          <w:szCs w:val="32"/>
        </w:rPr>
        <w:t>科技主管部门对科技特派员提交的报告、总结进行评价，评价结果分为</w:t>
      </w:r>
      <w:bookmarkStart w:id="1" w:name="OLE_LINK1"/>
      <w:r>
        <w:rPr>
          <w:rFonts w:hint="eastAsia" w:ascii="仿宋_GB2312" w:hAnsi="宋体" w:eastAsia="仿宋_GB2312" w:cs="宋体"/>
          <w:kern w:val="0"/>
          <w:sz w:val="32"/>
          <w:szCs w:val="32"/>
        </w:rPr>
        <w:t>合格、不合格</w:t>
      </w:r>
      <w:bookmarkEnd w:id="1"/>
      <w:r>
        <w:rPr>
          <w:rFonts w:hint="eastAsia" w:ascii="仿宋_GB2312" w:hAnsi="宋体" w:eastAsia="仿宋_GB2312" w:cs="宋体"/>
          <w:kern w:val="0"/>
          <w:sz w:val="32"/>
          <w:szCs w:val="32"/>
        </w:rPr>
        <w:t>。</w:t>
      </w:r>
    </w:p>
    <w:p w14:paraId="2E0A50A1">
      <w:pPr>
        <w:widowControl/>
        <w:spacing w:line="60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w:t>
      </w:r>
      <w:r>
        <w:rPr>
          <w:rFonts w:ascii="仿宋_GB2312" w:hAnsi="宋体" w:eastAsia="仿宋_GB2312" w:cs="宋体"/>
          <w:kern w:val="0"/>
          <w:sz w:val="32"/>
          <w:szCs w:val="32"/>
        </w:rPr>
        <w:t>3</w:t>
      </w:r>
      <w:r>
        <w:rPr>
          <w:rFonts w:hint="eastAsia" w:ascii="仿宋_GB2312" w:hAnsi="宋体" w:eastAsia="仿宋_GB2312" w:cs="宋体"/>
          <w:kern w:val="0"/>
          <w:sz w:val="32"/>
          <w:szCs w:val="32"/>
        </w:rPr>
        <w:t>）服务满意度评价。服务所在地的县（市、区）科技主管部门、服务对象登录福建科技特派员服务云平台对科技特派员服务情况进行满意度评价。科技主管部门、服务对象评价均在三星以上（含三星）的，即为合格。</w:t>
      </w:r>
    </w:p>
    <w:p w14:paraId="19110557">
      <w:pPr>
        <w:widowControl/>
        <w:spacing w:line="600" w:lineRule="exact"/>
        <w:ind w:firstLine="643" w:firstLineChars="200"/>
        <w:rPr>
          <w:rFonts w:hint="eastAsia" w:ascii="仿宋_GB2312" w:hAnsi="宋体" w:eastAsia="仿宋_GB2312" w:cs="宋体"/>
          <w:b/>
          <w:bCs/>
          <w:kern w:val="0"/>
          <w:sz w:val="32"/>
          <w:szCs w:val="32"/>
        </w:rPr>
      </w:pPr>
      <w:r>
        <w:rPr>
          <w:rFonts w:hint="eastAsia" w:ascii="仿宋_GB2312" w:hAnsi="宋体" w:eastAsia="仿宋_GB2312" w:cs="宋体"/>
          <w:b/>
          <w:bCs/>
          <w:kern w:val="0"/>
          <w:sz w:val="32"/>
          <w:szCs w:val="32"/>
        </w:rPr>
        <w:t>3.考核结果运用</w:t>
      </w:r>
    </w:p>
    <w:p w14:paraId="3CE7CEB2">
      <w:pPr>
        <w:widowControl/>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个人科技特派员的履职情况评价、服务成效评价、服务满意度评价中有一项不合格的，则其期中考核结果直接评定为不合格，取消其下一年度服务资格。</w:t>
      </w:r>
      <w:r>
        <w:rPr>
          <w:rFonts w:ascii="仿宋_GB2312" w:hAnsi="宋体" w:eastAsia="仿宋_GB2312" w:cs="宋体"/>
          <w:kern w:val="0"/>
          <w:sz w:val="32"/>
          <w:szCs w:val="32"/>
        </w:rPr>
        <w:t>因不可抗力等特殊情况导致科技特派员无法完成履职任务的，经省科技厅研究批准，</w:t>
      </w:r>
      <w:r>
        <w:rPr>
          <w:rFonts w:hint="eastAsia" w:ascii="仿宋_GB2312" w:hAnsi="宋体" w:eastAsia="仿宋_GB2312" w:cs="宋体"/>
          <w:kern w:val="0"/>
          <w:sz w:val="32"/>
          <w:szCs w:val="32"/>
        </w:rPr>
        <w:t>期中</w:t>
      </w:r>
      <w:r>
        <w:rPr>
          <w:rFonts w:ascii="仿宋_GB2312" w:hAnsi="宋体" w:eastAsia="仿宋_GB2312" w:cs="宋体"/>
          <w:kern w:val="0"/>
          <w:sz w:val="32"/>
          <w:szCs w:val="32"/>
        </w:rPr>
        <w:t>可不定考核结果</w:t>
      </w:r>
      <w:r>
        <w:rPr>
          <w:rFonts w:hint="eastAsia" w:ascii="仿宋_GB2312" w:hAnsi="宋体" w:eastAsia="仿宋_GB2312" w:cs="宋体"/>
          <w:kern w:val="0"/>
          <w:sz w:val="32"/>
          <w:szCs w:val="32"/>
        </w:rPr>
        <w:t>，同时取消其下一年服务资格。</w:t>
      </w:r>
    </w:p>
    <w:p w14:paraId="25C3F242">
      <w:pPr>
        <w:widowControl/>
        <w:spacing w:line="600" w:lineRule="exact"/>
        <w:ind w:firstLine="643" w:firstLineChars="200"/>
        <w:rPr>
          <w:rFonts w:hint="eastAsia" w:ascii="楷体" w:hAnsi="楷体" w:eastAsia="楷体" w:cs="楷体"/>
          <w:b/>
          <w:kern w:val="0"/>
          <w:sz w:val="32"/>
          <w:szCs w:val="32"/>
        </w:rPr>
      </w:pPr>
      <w:r>
        <w:rPr>
          <w:rFonts w:hint="eastAsia" w:ascii="楷体" w:hAnsi="楷体" w:eastAsia="楷体" w:cs="楷体"/>
          <w:b/>
          <w:kern w:val="0"/>
          <w:sz w:val="32"/>
          <w:szCs w:val="32"/>
        </w:rPr>
        <w:t>（二）期满考核</w:t>
      </w:r>
    </w:p>
    <w:p w14:paraId="67525278">
      <w:pPr>
        <w:widowControl/>
        <w:spacing w:line="600" w:lineRule="exact"/>
        <w:ind w:firstLine="643" w:firstLineChars="200"/>
        <w:rPr>
          <w:rFonts w:hint="eastAsia" w:ascii="仿宋_GB2312" w:hAnsi="宋体" w:eastAsia="仿宋_GB2312" w:cs="宋体"/>
          <w:b/>
          <w:bCs/>
          <w:kern w:val="0"/>
          <w:sz w:val="32"/>
          <w:szCs w:val="32"/>
        </w:rPr>
      </w:pPr>
      <w:r>
        <w:rPr>
          <w:rFonts w:hint="eastAsia" w:ascii="仿宋_GB2312" w:hAnsi="宋体" w:eastAsia="仿宋_GB2312" w:cs="宋体"/>
          <w:b/>
          <w:bCs/>
          <w:kern w:val="0"/>
          <w:sz w:val="32"/>
          <w:szCs w:val="32"/>
        </w:rPr>
        <w:t>1.考核等次</w:t>
      </w:r>
    </w:p>
    <w:p w14:paraId="55069EF0">
      <w:pPr>
        <w:widowControl/>
        <w:spacing w:line="60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分为优秀、合格、不合格三个等次。</w:t>
      </w:r>
      <w:r>
        <w:rPr>
          <w:rFonts w:hint="eastAsia" w:ascii="仿宋_GB2312" w:hAnsi="黑体" w:eastAsia="仿宋_GB2312"/>
          <w:sz w:val="32"/>
          <w:szCs w:val="32"/>
        </w:rPr>
        <w:t>采用评分考核制，包括基础分（3</w:t>
      </w:r>
      <w:r>
        <w:rPr>
          <w:rFonts w:ascii="仿宋_GB2312" w:hAnsi="黑体" w:eastAsia="仿宋_GB2312"/>
          <w:sz w:val="32"/>
          <w:szCs w:val="32"/>
        </w:rPr>
        <w:t>0</w:t>
      </w:r>
      <w:r>
        <w:rPr>
          <w:rFonts w:hint="eastAsia" w:ascii="仿宋_GB2312" w:hAnsi="黑体" w:eastAsia="仿宋_GB2312"/>
          <w:sz w:val="32"/>
          <w:szCs w:val="32"/>
        </w:rPr>
        <w:t>分）、业务分（7</w:t>
      </w:r>
      <w:r>
        <w:rPr>
          <w:rFonts w:ascii="仿宋_GB2312" w:hAnsi="黑体" w:eastAsia="仿宋_GB2312"/>
          <w:sz w:val="32"/>
          <w:szCs w:val="32"/>
        </w:rPr>
        <w:t>0</w:t>
      </w:r>
      <w:r>
        <w:rPr>
          <w:rFonts w:hint="eastAsia" w:ascii="仿宋_GB2312" w:hAnsi="黑体" w:eastAsia="仿宋_GB2312"/>
          <w:sz w:val="32"/>
          <w:szCs w:val="32"/>
        </w:rPr>
        <w:t>分）及附加分（15分）。考核总分值低于</w:t>
      </w:r>
      <w:r>
        <w:rPr>
          <w:rFonts w:ascii="仿宋_GB2312" w:hAnsi="黑体" w:eastAsia="仿宋_GB2312"/>
          <w:sz w:val="32"/>
          <w:szCs w:val="32"/>
        </w:rPr>
        <w:t>60</w:t>
      </w:r>
      <w:r>
        <w:rPr>
          <w:rFonts w:hint="eastAsia" w:ascii="仿宋_GB2312" w:hAnsi="黑体" w:eastAsia="仿宋_GB2312"/>
          <w:sz w:val="32"/>
          <w:szCs w:val="32"/>
        </w:rPr>
        <w:t>分的，评定为不合格；总分值超过</w:t>
      </w:r>
      <w:r>
        <w:rPr>
          <w:rFonts w:ascii="仿宋_GB2312" w:hAnsi="黑体" w:eastAsia="仿宋_GB2312"/>
          <w:sz w:val="32"/>
          <w:szCs w:val="32"/>
        </w:rPr>
        <w:t>60</w:t>
      </w:r>
      <w:r>
        <w:rPr>
          <w:rFonts w:hint="eastAsia" w:ascii="仿宋_GB2312" w:hAnsi="黑体" w:eastAsia="仿宋_GB2312"/>
          <w:sz w:val="32"/>
          <w:szCs w:val="32"/>
        </w:rPr>
        <w:t>分（含</w:t>
      </w:r>
      <w:r>
        <w:rPr>
          <w:rFonts w:ascii="仿宋_GB2312" w:hAnsi="黑体" w:eastAsia="仿宋_GB2312"/>
          <w:sz w:val="32"/>
          <w:szCs w:val="32"/>
        </w:rPr>
        <w:t>60</w:t>
      </w:r>
      <w:r>
        <w:rPr>
          <w:rFonts w:hint="eastAsia" w:ascii="仿宋_GB2312" w:hAnsi="黑体" w:eastAsia="仿宋_GB2312"/>
          <w:sz w:val="32"/>
          <w:szCs w:val="32"/>
        </w:rPr>
        <w:t>分），评定为合格；总分值超过9</w:t>
      </w:r>
      <w:r>
        <w:rPr>
          <w:rFonts w:ascii="仿宋_GB2312" w:hAnsi="黑体" w:eastAsia="仿宋_GB2312"/>
          <w:sz w:val="32"/>
          <w:szCs w:val="32"/>
        </w:rPr>
        <w:t>0</w:t>
      </w:r>
      <w:r>
        <w:rPr>
          <w:rFonts w:hint="eastAsia" w:ascii="仿宋_GB2312" w:hAnsi="黑体" w:eastAsia="仿宋_GB2312"/>
          <w:sz w:val="32"/>
          <w:szCs w:val="32"/>
        </w:rPr>
        <w:t>分（含9</w:t>
      </w:r>
      <w:r>
        <w:rPr>
          <w:rFonts w:ascii="仿宋_GB2312" w:hAnsi="黑体" w:eastAsia="仿宋_GB2312"/>
          <w:sz w:val="32"/>
          <w:szCs w:val="32"/>
        </w:rPr>
        <w:t>0</w:t>
      </w:r>
      <w:r>
        <w:rPr>
          <w:rFonts w:hint="eastAsia" w:ascii="仿宋_GB2312" w:hAnsi="黑体" w:eastAsia="仿宋_GB2312"/>
          <w:sz w:val="32"/>
          <w:szCs w:val="32"/>
        </w:rPr>
        <w:t>分）且分值排名前10</w:t>
      </w:r>
      <w:r>
        <w:rPr>
          <w:rFonts w:ascii="仿宋_GB2312" w:hAnsi="黑体" w:eastAsia="仿宋_GB2312"/>
          <w:sz w:val="32"/>
          <w:szCs w:val="32"/>
        </w:rPr>
        <w:t>%</w:t>
      </w:r>
      <w:r>
        <w:rPr>
          <w:rFonts w:hint="eastAsia" w:ascii="仿宋_GB2312" w:hAnsi="黑体" w:eastAsia="仿宋_GB2312"/>
          <w:sz w:val="32"/>
          <w:szCs w:val="32"/>
        </w:rPr>
        <w:t>的，评定为优秀。考核结果为优秀的，在下一轮选认工作中予以优先选认（附件2）。</w:t>
      </w:r>
      <w:r>
        <w:rPr>
          <w:rFonts w:hint="eastAsia" w:ascii="仿宋_GB2312" w:hAnsi="宋体" w:eastAsia="仿宋_GB2312" w:cs="宋体"/>
          <w:kern w:val="0"/>
          <w:sz w:val="32"/>
          <w:szCs w:val="32"/>
        </w:rPr>
        <w:t>因不可抗力等特殊情况导致科技特派员无法完成履职任务的，经省科技厅研究批准，可不定考核结果。</w:t>
      </w:r>
    </w:p>
    <w:p w14:paraId="66158DA4">
      <w:pPr>
        <w:widowControl/>
        <w:spacing w:line="600" w:lineRule="exact"/>
        <w:ind w:firstLine="643" w:firstLineChars="200"/>
        <w:rPr>
          <w:rFonts w:hint="eastAsia" w:eastAsia="仿宋_GB2312"/>
          <w:b/>
          <w:bCs/>
        </w:rPr>
      </w:pPr>
      <w:r>
        <w:rPr>
          <w:rFonts w:hint="eastAsia" w:ascii="仿宋_GB2312" w:hAnsi="宋体" w:eastAsia="仿宋_GB2312" w:cs="宋体"/>
          <w:b/>
          <w:bCs/>
          <w:sz w:val="32"/>
          <w:szCs w:val="32"/>
        </w:rPr>
        <w:t>2.具体评分标准</w:t>
      </w:r>
    </w:p>
    <w:p w14:paraId="6D7998C3">
      <w:pPr>
        <w:spacing w:line="600" w:lineRule="exact"/>
        <w:ind w:firstLine="640" w:firstLineChars="200"/>
        <w:rPr>
          <w:rFonts w:ascii="仿宋_GB2312" w:hAnsi="黑体" w:eastAsia="仿宋_GB2312"/>
          <w:sz w:val="32"/>
          <w:szCs w:val="32"/>
        </w:rPr>
      </w:pPr>
      <w:r>
        <w:rPr>
          <w:rFonts w:hint="eastAsia" w:ascii="仿宋_GB2312" w:hAnsi="黑体" w:eastAsia="仿宋_GB2312"/>
          <w:bCs/>
          <w:sz w:val="32"/>
          <w:szCs w:val="32"/>
        </w:rPr>
        <w:t>（</w:t>
      </w:r>
      <w:r>
        <w:rPr>
          <w:rFonts w:ascii="仿宋_GB2312" w:hAnsi="黑体" w:eastAsia="仿宋_GB2312"/>
          <w:bCs/>
          <w:sz w:val="32"/>
          <w:szCs w:val="32"/>
        </w:rPr>
        <w:t>1</w:t>
      </w:r>
      <w:r>
        <w:rPr>
          <w:rFonts w:hint="eastAsia" w:ascii="仿宋_GB2312" w:hAnsi="黑体" w:eastAsia="仿宋_GB2312"/>
          <w:bCs/>
          <w:sz w:val="32"/>
          <w:szCs w:val="32"/>
        </w:rPr>
        <w:t>）基础分（3</w:t>
      </w:r>
      <w:r>
        <w:rPr>
          <w:rFonts w:ascii="仿宋_GB2312" w:hAnsi="黑体" w:eastAsia="仿宋_GB2312"/>
          <w:bCs/>
          <w:sz w:val="32"/>
          <w:szCs w:val="32"/>
        </w:rPr>
        <w:t>0</w:t>
      </w:r>
      <w:r>
        <w:rPr>
          <w:rFonts w:hint="eastAsia" w:ascii="仿宋_GB2312" w:hAnsi="黑体" w:eastAsia="仿宋_GB2312"/>
          <w:bCs/>
          <w:sz w:val="32"/>
          <w:szCs w:val="32"/>
        </w:rPr>
        <w:t>分）。</w:t>
      </w:r>
      <w:r>
        <w:rPr>
          <w:rFonts w:hint="eastAsia" w:ascii="仿宋_GB2312" w:hAnsi="黑体" w:eastAsia="仿宋_GB2312"/>
          <w:sz w:val="32"/>
          <w:szCs w:val="32"/>
        </w:rPr>
        <w:t>个人科技特派员</w:t>
      </w:r>
      <w:r>
        <w:rPr>
          <w:rFonts w:hint="eastAsia" w:ascii="仿宋_GB2312" w:hAnsi="宋体" w:eastAsia="仿宋_GB2312" w:cs="宋体"/>
          <w:kern w:val="0"/>
          <w:sz w:val="32"/>
          <w:szCs w:val="32"/>
        </w:rPr>
        <w:t>开展现场实地服务</w:t>
      </w:r>
      <w:r>
        <w:rPr>
          <w:rFonts w:hint="eastAsia" w:ascii="仿宋_GB2312" w:hAnsi="黑体" w:eastAsia="仿宋_GB2312"/>
          <w:sz w:val="32"/>
          <w:szCs w:val="32"/>
        </w:rPr>
        <w:t>累计20天，1天计0.75分，满分15分；</w:t>
      </w:r>
      <w:r>
        <w:rPr>
          <w:rFonts w:hint="eastAsia" w:ascii="仿宋_GB2312" w:hAnsi="宋体" w:eastAsia="仿宋_GB2312" w:cs="宋体"/>
          <w:kern w:val="0"/>
          <w:sz w:val="32"/>
          <w:szCs w:val="32"/>
        </w:rPr>
        <w:t>省外科技特派员开展现场实地服务</w:t>
      </w:r>
      <w:r>
        <w:rPr>
          <w:rFonts w:hint="eastAsia" w:ascii="仿宋_GB2312" w:hAnsi="黑体" w:eastAsia="仿宋_GB2312"/>
          <w:sz w:val="32"/>
          <w:szCs w:val="32"/>
        </w:rPr>
        <w:t>累计10天，1天计1.5分，满分15分，</w:t>
      </w:r>
      <w:r>
        <w:rPr>
          <w:rFonts w:hint="eastAsia" w:ascii="仿宋_GB2312" w:hAnsi="宋体" w:eastAsia="仿宋_GB2312" w:cs="宋体"/>
          <w:kern w:val="0"/>
          <w:sz w:val="32"/>
          <w:szCs w:val="32"/>
        </w:rPr>
        <w:t>科技特派员在开展现场实地服务（含主要服务区域和其他服务区域）时，需要通过“福建科特派”公众号的科特派移动服务工作站记录工作日志、服务位置等信息（具体操作指南见附件5）</w:t>
      </w:r>
      <w:r>
        <w:rPr>
          <w:rFonts w:hint="eastAsia" w:ascii="仿宋_GB2312" w:hAnsi="黑体" w:eastAsia="仿宋_GB2312"/>
          <w:sz w:val="32"/>
          <w:szCs w:val="32"/>
        </w:rPr>
        <w:t>。个人科技特派员通过云服务平台开展科技服务，在线时长大于等于100小时计5分；在线时长大于等于50小时计3分；在线时长大于等于10小时计1分。个人科技特派员对照三方协议任务要求，按时提交工作报告，并通过</w:t>
      </w:r>
      <w:r>
        <w:rPr>
          <w:rFonts w:hint="eastAsia" w:ascii="仿宋_GB2312" w:hAnsi="宋体" w:eastAsia="仿宋_GB2312" w:cs="宋体"/>
          <w:kern w:val="0"/>
          <w:sz w:val="32"/>
          <w:szCs w:val="32"/>
        </w:rPr>
        <w:t>县（市、区）</w:t>
      </w:r>
      <w:r>
        <w:rPr>
          <w:rFonts w:hint="eastAsia" w:ascii="仿宋_GB2312" w:hAnsi="黑体" w:eastAsia="仿宋_GB2312"/>
          <w:sz w:val="32"/>
          <w:szCs w:val="32"/>
        </w:rPr>
        <w:t>科技主管部门审核，满分10分，审核不通过或未提交工作报告的不得分。</w:t>
      </w:r>
    </w:p>
    <w:p w14:paraId="7B93EC51">
      <w:pPr>
        <w:spacing w:line="600" w:lineRule="exact"/>
        <w:ind w:firstLine="640" w:firstLineChars="200"/>
        <w:rPr>
          <w:rFonts w:ascii="仿宋_GB2312" w:hAnsi="黑体" w:eastAsia="仿宋_GB2312"/>
          <w:sz w:val="32"/>
          <w:szCs w:val="32"/>
        </w:rPr>
      </w:pPr>
      <w:r>
        <w:rPr>
          <w:rFonts w:hint="eastAsia" w:ascii="仿宋_GB2312" w:hAnsi="黑体" w:eastAsia="仿宋_GB2312"/>
          <w:bCs/>
          <w:sz w:val="32"/>
          <w:szCs w:val="32"/>
        </w:rPr>
        <w:t>（</w:t>
      </w:r>
      <w:r>
        <w:rPr>
          <w:rFonts w:ascii="仿宋_GB2312" w:hAnsi="黑体" w:eastAsia="仿宋_GB2312"/>
          <w:bCs/>
          <w:sz w:val="32"/>
          <w:szCs w:val="32"/>
        </w:rPr>
        <w:t>2</w:t>
      </w:r>
      <w:r>
        <w:rPr>
          <w:rFonts w:hint="eastAsia" w:ascii="仿宋_GB2312" w:hAnsi="黑体" w:eastAsia="仿宋_GB2312"/>
          <w:bCs/>
          <w:sz w:val="32"/>
          <w:szCs w:val="32"/>
        </w:rPr>
        <w:t>）业务分（7</w:t>
      </w:r>
      <w:r>
        <w:rPr>
          <w:rFonts w:ascii="仿宋_GB2312" w:hAnsi="黑体" w:eastAsia="仿宋_GB2312"/>
          <w:bCs/>
          <w:sz w:val="32"/>
          <w:szCs w:val="32"/>
        </w:rPr>
        <w:t>0</w:t>
      </w:r>
      <w:r>
        <w:rPr>
          <w:rFonts w:hint="eastAsia" w:ascii="仿宋_GB2312" w:hAnsi="黑体" w:eastAsia="仿宋_GB2312"/>
          <w:bCs/>
          <w:sz w:val="32"/>
          <w:szCs w:val="32"/>
        </w:rPr>
        <w:t>分）。</w:t>
      </w:r>
      <w:r>
        <w:rPr>
          <w:rFonts w:hint="eastAsia" w:ascii="仿宋_GB2312" w:hAnsi="黑体" w:eastAsia="仿宋_GB2312"/>
          <w:sz w:val="32"/>
          <w:szCs w:val="32"/>
        </w:rPr>
        <w:t>业务分由</w:t>
      </w:r>
      <w:r>
        <w:rPr>
          <w:rFonts w:hint="eastAsia" w:ascii="仿宋_GB2312" w:hAnsi="宋体" w:eastAsia="仿宋_GB2312" w:cs="宋体"/>
          <w:kern w:val="0"/>
          <w:sz w:val="32"/>
          <w:szCs w:val="32"/>
        </w:rPr>
        <w:t>县（市、区）</w:t>
      </w:r>
      <w:r>
        <w:rPr>
          <w:rFonts w:hint="eastAsia" w:ascii="仿宋_GB2312" w:hAnsi="黑体" w:eastAsia="仿宋_GB2312"/>
          <w:sz w:val="32"/>
          <w:szCs w:val="32"/>
        </w:rPr>
        <w:t>科技主管部门与服务对象对照三方协议中填报的任务指标完成情况、日常工作情况、服务成效等，分别进行评分（附件3和4）。其中，</w:t>
      </w:r>
      <w:r>
        <w:rPr>
          <w:rFonts w:hint="eastAsia" w:ascii="仿宋_GB2312" w:hAnsi="宋体" w:eastAsia="仿宋_GB2312" w:cs="宋体"/>
          <w:kern w:val="0"/>
          <w:sz w:val="32"/>
          <w:szCs w:val="32"/>
        </w:rPr>
        <w:t>县（市、区）</w:t>
      </w:r>
      <w:r>
        <w:rPr>
          <w:rFonts w:hint="eastAsia" w:ascii="仿宋_GB2312" w:hAnsi="黑体" w:eastAsia="仿宋_GB2312"/>
          <w:sz w:val="32"/>
          <w:szCs w:val="32"/>
        </w:rPr>
        <w:t>科技主管部门评分占4</w:t>
      </w:r>
      <w:r>
        <w:rPr>
          <w:rFonts w:ascii="仿宋_GB2312" w:hAnsi="黑体" w:eastAsia="仿宋_GB2312"/>
          <w:sz w:val="32"/>
          <w:szCs w:val="32"/>
        </w:rPr>
        <w:t>0</w:t>
      </w:r>
      <w:r>
        <w:rPr>
          <w:rFonts w:hint="eastAsia" w:ascii="仿宋_GB2312" w:hAnsi="黑体" w:eastAsia="仿宋_GB2312"/>
          <w:sz w:val="32"/>
          <w:szCs w:val="32"/>
        </w:rPr>
        <w:t>分；服务对象评分占30分。</w:t>
      </w:r>
    </w:p>
    <w:p w14:paraId="3C5A7290">
      <w:pPr>
        <w:spacing w:line="600" w:lineRule="exact"/>
        <w:ind w:firstLine="640" w:firstLineChars="200"/>
        <w:rPr>
          <w:rFonts w:ascii="仿宋_GB2312" w:hAnsi="黑体" w:eastAsia="仿宋_GB2312"/>
          <w:bCs/>
          <w:sz w:val="32"/>
          <w:szCs w:val="32"/>
        </w:rPr>
      </w:pPr>
      <w:r>
        <w:rPr>
          <w:rFonts w:hint="eastAsia" w:ascii="仿宋_GB2312" w:hAnsi="黑体" w:eastAsia="仿宋_GB2312"/>
          <w:bCs/>
          <w:sz w:val="32"/>
          <w:szCs w:val="32"/>
        </w:rPr>
        <w:t>县（市、区）科技主管部门业务评价等级：</w:t>
      </w:r>
    </w:p>
    <w:p w14:paraId="586E3C6F">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①优：36-40分；</w:t>
      </w:r>
    </w:p>
    <w:p w14:paraId="75CDE59A">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②良：32-35分；</w:t>
      </w:r>
    </w:p>
    <w:p w14:paraId="094E2311">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③中：28-31分；</w:t>
      </w:r>
    </w:p>
    <w:p w14:paraId="40AB70FD">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④合格：24-27分；</w:t>
      </w:r>
    </w:p>
    <w:p w14:paraId="55BF3D32">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⑤不合格：小于24分。</w:t>
      </w:r>
    </w:p>
    <w:p w14:paraId="1F69FCC5">
      <w:pPr>
        <w:spacing w:line="600" w:lineRule="exact"/>
        <w:ind w:firstLine="640" w:firstLineChars="200"/>
        <w:rPr>
          <w:rFonts w:ascii="仿宋_GB2312" w:hAnsi="黑体" w:eastAsia="仿宋_GB2312"/>
          <w:b/>
          <w:sz w:val="32"/>
          <w:szCs w:val="32"/>
        </w:rPr>
      </w:pPr>
      <w:r>
        <w:rPr>
          <w:rFonts w:hint="eastAsia" w:ascii="仿宋_GB2312" w:hAnsi="黑体" w:eastAsia="仿宋_GB2312"/>
          <w:sz w:val="32"/>
          <w:szCs w:val="32"/>
        </w:rPr>
        <w:t>服务内容不属实，不得分。</w:t>
      </w:r>
    </w:p>
    <w:p w14:paraId="44C757C4">
      <w:pPr>
        <w:spacing w:line="600" w:lineRule="exact"/>
        <w:ind w:firstLine="640" w:firstLineChars="200"/>
        <w:rPr>
          <w:rFonts w:ascii="仿宋_GB2312" w:hAnsi="黑体" w:eastAsia="仿宋_GB2312"/>
          <w:bCs/>
          <w:sz w:val="32"/>
          <w:szCs w:val="32"/>
        </w:rPr>
      </w:pPr>
      <w:r>
        <w:rPr>
          <w:rFonts w:hint="eastAsia" w:ascii="仿宋_GB2312" w:hAnsi="黑体" w:eastAsia="仿宋_GB2312"/>
          <w:bCs/>
          <w:sz w:val="32"/>
          <w:szCs w:val="32"/>
        </w:rPr>
        <w:t>服务对象业务评价等级：</w:t>
      </w:r>
    </w:p>
    <w:p w14:paraId="4E7921E5">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①优：27-30分；</w:t>
      </w:r>
    </w:p>
    <w:p w14:paraId="7CF027BE">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②良：24-26分；</w:t>
      </w:r>
    </w:p>
    <w:p w14:paraId="00FBF4C0">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③中：21-23分；</w:t>
      </w:r>
    </w:p>
    <w:p w14:paraId="77670161">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④合格：18-20分；</w:t>
      </w:r>
    </w:p>
    <w:p w14:paraId="01F15768">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⑤不合格：小于18分。</w:t>
      </w:r>
    </w:p>
    <w:p w14:paraId="2811929B">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服务内容不属实，不得分。</w:t>
      </w:r>
    </w:p>
    <w:p w14:paraId="6A3F8AF1">
      <w:pPr>
        <w:numPr>
          <w:ilvl w:val="0"/>
          <w:numId w:val="2"/>
        </w:numPr>
        <w:spacing w:line="600" w:lineRule="exact"/>
        <w:ind w:firstLine="640" w:firstLineChars="200"/>
        <w:rPr>
          <w:rFonts w:hint="eastAsia" w:ascii="仿宋_GB2312" w:hAnsi="黑体" w:eastAsia="仿宋_GB2312"/>
          <w:sz w:val="32"/>
          <w:szCs w:val="32"/>
        </w:rPr>
      </w:pPr>
      <w:r>
        <w:rPr>
          <w:rFonts w:hint="eastAsia" w:ascii="仿宋_GB2312" w:hAnsi="黑体" w:eastAsia="仿宋_GB2312"/>
          <w:bCs/>
          <w:sz w:val="32"/>
          <w:szCs w:val="32"/>
        </w:rPr>
        <w:t>附加分（15分）。</w:t>
      </w:r>
      <w:r>
        <w:rPr>
          <w:rFonts w:hint="eastAsia" w:ascii="仿宋_GB2312" w:hAnsi="黑体" w:eastAsia="仿宋_GB2312"/>
          <w:sz w:val="32"/>
          <w:szCs w:val="32"/>
        </w:rPr>
        <w:t>与服务对象共同申请国家、省、市级项目（标准）并通过立项，每项分别计5分、3分、1分，封顶5分；服务产业、项目、人才等获国家、省、市级政府表彰或资质认定的，每项分别计5分、3分、1分，封顶5分；科技服务突出成效、经验、模式，或对服务对象开展品牌建设、宣传推广等方面获得国家、省、市级媒体（报纸、电视、政府网站）刊发播放的，每项分别计5分、3分、1分，封顶5分。由</w:t>
      </w:r>
      <w:r>
        <w:rPr>
          <w:rFonts w:hint="eastAsia" w:ascii="仿宋_GB2312" w:hAnsi="宋体" w:eastAsia="仿宋_GB2312" w:cs="宋体"/>
          <w:kern w:val="0"/>
          <w:sz w:val="32"/>
          <w:szCs w:val="32"/>
        </w:rPr>
        <w:t>县（市、区）</w:t>
      </w:r>
      <w:r>
        <w:rPr>
          <w:rFonts w:hint="eastAsia" w:ascii="仿宋_GB2312" w:hAnsi="黑体" w:eastAsia="仿宋_GB2312"/>
          <w:sz w:val="32"/>
          <w:szCs w:val="32"/>
        </w:rPr>
        <w:t>科技主管部门审核评分。</w:t>
      </w:r>
    </w:p>
    <w:p w14:paraId="0AD883F3">
      <w:pPr>
        <w:widowControl/>
        <w:spacing w:line="60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3.考核结果运用</w:t>
      </w:r>
    </w:p>
    <w:p w14:paraId="0B83E334">
      <w:pPr>
        <w:pStyle w:val="10"/>
        <w:spacing w:after="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考核优秀的科技特派员在下一轮选认中优先选认；考核不合格的科技特派员2年内不得参与各级科技特派员选认。</w:t>
      </w:r>
    </w:p>
    <w:p w14:paraId="57C8F6F6">
      <w:pPr>
        <w:widowControl/>
        <w:spacing w:line="600" w:lineRule="exact"/>
        <w:ind w:firstLine="643" w:firstLineChars="200"/>
        <w:jc w:val="left"/>
        <w:rPr>
          <w:rFonts w:ascii="楷体" w:hAnsi="楷体" w:eastAsia="楷体"/>
          <w:b/>
          <w:sz w:val="32"/>
          <w:szCs w:val="32"/>
        </w:rPr>
      </w:pPr>
      <w:r>
        <w:rPr>
          <w:rFonts w:hint="eastAsia" w:ascii="楷体" w:hAnsi="楷体" w:eastAsia="楷体"/>
          <w:b/>
          <w:sz w:val="32"/>
          <w:szCs w:val="32"/>
        </w:rPr>
        <w:t>（三）工作报告要求</w:t>
      </w:r>
    </w:p>
    <w:p w14:paraId="18EAE935">
      <w:pPr>
        <w:spacing w:line="600" w:lineRule="exact"/>
        <w:ind w:firstLine="640" w:firstLineChars="200"/>
        <w:rPr>
          <w:rFonts w:hint="eastAsia" w:ascii="仿宋_GB2312" w:hAnsi="黑体" w:eastAsia="仿宋_GB2312"/>
          <w:sz w:val="32"/>
          <w:szCs w:val="32"/>
        </w:rPr>
      </w:pPr>
      <w:r>
        <w:rPr>
          <w:rFonts w:hint="eastAsia" w:ascii="仿宋_GB2312" w:hAnsi="宋体" w:eastAsia="仿宋_GB2312" w:cs="宋体"/>
          <w:kern w:val="0"/>
          <w:sz w:val="32"/>
          <w:szCs w:val="32"/>
        </w:rPr>
        <w:t>个人、团队、法人科特派在</w:t>
      </w:r>
      <w:r>
        <w:rPr>
          <w:rFonts w:hint="eastAsia" w:ascii="仿宋_GB2312" w:hAnsi="黑体" w:eastAsia="仿宋_GB2312"/>
          <w:sz w:val="32"/>
          <w:szCs w:val="32"/>
        </w:rPr>
        <w:t>期中考核与期满考核时，均需要提交工作报告，内容包括服务对象概况、服务内容、服务成效（含技术进步、经济效益、社会效益）、特色亮点等，涉及附加分的服务内容（附件2），需在工作报告中单列，并提供佐证资料。</w:t>
      </w:r>
    </w:p>
    <w:p w14:paraId="531C9F9A">
      <w:pPr>
        <w:widowControl/>
        <w:spacing w:line="600" w:lineRule="exact"/>
        <w:ind w:firstLine="643" w:firstLineChars="200"/>
        <w:jc w:val="left"/>
        <w:rPr>
          <w:rFonts w:hint="eastAsia" w:ascii="楷体" w:hAnsi="楷体" w:eastAsia="楷体"/>
          <w:b/>
          <w:sz w:val="32"/>
          <w:szCs w:val="32"/>
        </w:rPr>
      </w:pPr>
      <w:r>
        <w:rPr>
          <w:rFonts w:hint="eastAsia" w:ascii="楷体" w:hAnsi="楷体" w:eastAsia="楷体"/>
          <w:b/>
          <w:sz w:val="32"/>
          <w:szCs w:val="32"/>
        </w:rPr>
        <w:t>（四）考核参考依据</w:t>
      </w:r>
    </w:p>
    <w:p w14:paraId="2FA222D6">
      <w:pPr>
        <w:spacing w:line="60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省、市、县三级科技主管部门通过日常服务管理、随机抽查、实地核实、年终述职评议等方式，全面了解省级科技特派员工作表现，作为考核参考。</w:t>
      </w:r>
    </w:p>
    <w:p w14:paraId="60692660">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科技主管部门、服务对象进行评价时，可以参考但不限以下内容：实施科技开发项目、创办企业、组建专业技术协会或经济合作组织、创建创业基地、成立专业合作社、形成利益共同体、服务企业数量、增产增收、服务农民、开展技术培训、引进推广“五新”技术、制定技术标准、申请专利、发表论文论著、条件建设、开发产品、开发改良设备或生产线、认（审）定新品种、成果转化、示范带动农户情况等。</w:t>
      </w:r>
    </w:p>
    <w:p w14:paraId="3A721AB8">
      <w:pPr>
        <w:widowControl/>
        <w:spacing w:line="600" w:lineRule="exact"/>
        <w:ind w:firstLine="640"/>
        <w:rPr>
          <w:rFonts w:hint="eastAsia" w:ascii="仿宋_GB2312" w:hAnsi="Calibri" w:eastAsia="仿宋_GB2312" w:cs="宋体"/>
          <w:kern w:val="0"/>
          <w:sz w:val="32"/>
          <w:szCs w:val="32"/>
        </w:rPr>
      </w:pPr>
      <w:r>
        <w:rPr>
          <w:rFonts w:hint="eastAsia" w:ascii="黑体" w:hAnsi="宋体" w:eastAsia="黑体" w:cs="宋体"/>
          <w:bCs/>
          <w:kern w:val="0"/>
          <w:sz w:val="32"/>
          <w:szCs w:val="32"/>
        </w:rPr>
        <w:t>四、考核程序</w:t>
      </w:r>
    </w:p>
    <w:p w14:paraId="37DC87A5">
      <w:pPr>
        <w:widowControl/>
        <w:spacing w:line="600" w:lineRule="exact"/>
        <w:ind w:firstLine="643" w:firstLineChars="200"/>
        <w:rPr>
          <w:rFonts w:hint="eastAsia" w:ascii="楷体" w:hAnsi="楷体" w:eastAsia="楷体" w:cs="楷体"/>
          <w:b/>
          <w:bCs/>
          <w:kern w:val="0"/>
          <w:sz w:val="32"/>
          <w:szCs w:val="32"/>
        </w:rPr>
      </w:pPr>
      <w:r>
        <w:rPr>
          <w:rFonts w:hint="eastAsia" w:ascii="楷体" w:hAnsi="楷体" w:eastAsia="楷体" w:cs="楷体"/>
          <w:b/>
          <w:bCs/>
          <w:kern w:val="0"/>
          <w:sz w:val="32"/>
          <w:szCs w:val="32"/>
        </w:rPr>
        <w:t>（一）期中考核</w:t>
      </w:r>
    </w:p>
    <w:p w14:paraId="2E07F412">
      <w:pPr>
        <w:widowControl/>
        <w:spacing w:line="600" w:lineRule="exact"/>
        <w:ind w:firstLine="640" w:firstLineChars="200"/>
        <w:rPr>
          <w:rFonts w:hint="eastAsia" w:ascii="仿宋_GB2312" w:hAnsi="宋体" w:eastAsia="仿宋_GB2312" w:cs="宋体"/>
          <w:bCs/>
          <w:kern w:val="0"/>
          <w:sz w:val="32"/>
          <w:szCs w:val="32"/>
        </w:rPr>
      </w:pPr>
      <w:r>
        <w:rPr>
          <w:rFonts w:hint="eastAsia" w:ascii="仿宋_GB2312" w:hAnsi="宋体" w:eastAsia="仿宋_GB2312" w:cs="宋体"/>
          <w:bCs/>
          <w:kern w:val="0"/>
          <w:sz w:val="32"/>
          <w:szCs w:val="32"/>
        </w:rPr>
        <w:t>1.</w:t>
      </w:r>
      <w:r>
        <w:rPr>
          <w:rFonts w:hint="eastAsia" w:ascii="仿宋_GB2312" w:hAnsi="宋体" w:eastAsia="仿宋_GB2312" w:cs="宋体"/>
          <w:kern w:val="0"/>
          <w:sz w:val="32"/>
          <w:szCs w:val="32"/>
        </w:rPr>
        <w:t>2027年3月31日前：科技特派员提交期中工作报告，服务对象完成满意度评价。</w:t>
      </w:r>
    </w:p>
    <w:p w14:paraId="33D13C17">
      <w:pPr>
        <w:widowControl/>
        <w:spacing w:line="600" w:lineRule="exact"/>
        <w:ind w:firstLine="640" w:firstLineChars="200"/>
        <w:rPr>
          <w:rFonts w:hint="eastAsia" w:ascii="黑体" w:hAnsi="Calibri" w:eastAsia="黑体" w:cs="宋体"/>
          <w:kern w:val="0"/>
          <w:sz w:val="32"/>
          <w:szCs w:val="32"/>
        </w:rPr>
      </w:pPr>
      <w:r>
        <w:rPr>
          <w:rFonts w:hint="eastAsia" w:ascii="仿宋_GB2312" w:hAnsi="宋体" w:eastAsia="仿宋_GB2312" w:cs="宋体"/>
          <w:kern w:val="0"/>
          <w:sz w:val="32"/>
          <w:szCs w:val="32"/>
        </w:rPr>
        <w:t>2.2027年4月15日前：县（市、区）科技主管部门完成报告审核及满意度</w:t>
      </w:r>
      <w:r>
        <w:rPr>
          <w:rFonts w:hint="eastAsia" w:ascii="仿宋_GB2312" w:hAnsi="宋体" w:eastAsia="仿宋_GB2312" w:cs="宋体"/>
          <w:kern w:val="0"/>
          <w:sz w:val="32"/>
          <w:szCs w:val="32"/>
          <w:lang w:eastAsia="zh-CN"/>
        </w:rPr>
        <w:t>评价</w:t>
      </w:r>
      <w:r>
        <w:rPr>
          <w:rFonts w:hint="eastAsia" w:ascii="仿宋_GB2312" w:hAnsi="宋体" w:eastAsia="仿宋_GB2312" w:cs="宋体"/>
          <w:kern w:val="0"/>
          <w:sz w:val="32"/>
          <w:szCs w:val="32"/>
        </w:rPr>
        <w:t>。</w:t>
      </w:r>
    </w:p>
    <w:p w14:paraId="1F123369">
      <w:pPr>
        <w:widowControl/>
        <w:spacing w:line="60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3.2027年4月3</w:t>
      </w:r>
      <w:r>
        <w:rPr>
          <w:rFonts w:hint="eastAsia" w:ascii="仿宋_GB2312" w:hAnsi="宋体" w:eastAsia="仿宋_GB2312" w:cs="宋体"/>
          <w:kern w:val="0"/>
          <w:sz w:val="32"/>
          <w:szCs w:val="32"/>
          <w:lang w:val="en-US" w:eastAsia="zh-CN"/>
        </w:rPr>
        <w:t>0</w:t>
      </w:r>
      <w:bookmarkStart w:id="5" w:name="_GoBack"/>
      <w:bookmarkEnd w:id="5"/>
      <w:r>
        <w:rPr>
          <w:rFonts w:hint="eastAsia" w:ascii="仿宋_GB2312" w:hAnsi="宋体" w:eastAsia="仿宋_GB2312" w:cs="宋体"/>
          <w:kern w:val="0"/>
          <w:sz w:val="32"/>
          <w:szCs w:val="32"/>
        </w:rPr>
        <w:t>日前：设区市、平潭综合实验区科技主管部门报送期中考核结果至省科技厅。</w:t>
      </w:r>
    </w:p>
    <w:p w14:paraId="240E0736">
      <w:pPr>
        <w:widowControl/>
        <w:spacing w:line="60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4.2027年5月底前：省科技厅公布期中考核结果。</w:t>
      </w:r>
    </w:p>
    <w:p w14:paraId="182B89EB">
      <w:pPr>
        <w:widowControl/>
        <w:spacing w:line="600" w:lineRule="exact"/>
        <w:ind w:firstLine="643" w:firstLineChars="200"/>
        <w:rPr>
          <w:rFonts w:hint="eastAsia" w:ascii="楷体" w:hAnsi="楷体" w:eastAsia="楷体" w:cs="楷体"/>
          <w:b/>
          <w:bCs/>
          <w:kern w:val="0"/>
          <w:sz w:val="32"/>
          <w:szCs w:val="32"/>
        </w:rPr>
      </w:pPr>
      <w:r>
        <w:rPr>
          <w:rFonts w:hint="eastAsia" w:ascii="楷体" w:hAnsi="楷体" w:eastAsia="楷体" w:cs="楷体"/>
          <w:b/>
          <w:bCs/>
          <w:kern w:val="0"/>
          <w:sz w:val="32"/>
          <w:szCs w:val="32"/>
        </w:rPr>
        <w:t>（二）期满考核</w:t>
      </w:r>
    </w:p>
    <w:p w14:paraId="76263CAD">
      <w:pPr>
        <w:widowControl/>
        <w:spacing w:line="600" w:lineRule="exact"/>
        <w:ind w:firstLine="640" w:firstLineChars="200"/>
        <w:rPr>
          <w:rFonts w:hint="eastAsia" w:ascii="黑体" w:hAnsi="Calibri" w:eastAsia="黑体" w:cs="宋体"/>
          <w:kern w:val="0"/>
          <w:sz w:val="32"/>
          <w:szCs w:val="32"/>
        </w:rPr>
      </w:pPr>
      <w:r>
        <w:rPr>
          <w:rFonts w:hint="eastAsia" w:ascii="仿宋_GB2312" w:hAnsi="宋体" w:eastAsia="仿宋_GB2312" w:cs="宋体"/>
          <w:bCs/>
          <w:kern w:val="0"/>
          <w:sz w:val="32"/>
          <w:szCs w:val="32"/>
        </w:rPr>
        <w:t>1.</w:t>
      </w:r>
      <w:r>
        <w:rPr>
          <w:rFonts w:hint="eastAsia" w:ascii="仿宋_GB2312" w:hAnsi="宋体" w:eastAsia="仿宋_GB2312" w:cs="宋体"/>
          <w:kern w:val="0"/>
          <w:sz w:val="32"/>
          <w:szCs w:val="32"/>
        </w:rPr>
        <w:t>2027年11月30日前：科技特派员提交期满工作报告，服务对象填写评价表并上传评分（需盖章）。</w:t>
      </w:r>
    </w:p>
    <w:p w14:paraId="52D6404A">
      <w:pPr>
        <w:widowControl/>
        <w:spacing w:line="600" w:lineRule="exact"/>
        <w:ind w:firstLine="640" w:firstLineChars="200"/>
        <w:rPr>
          <w:rFonts w:hint="eastAsia" w:ascii="黑体" w:hAnsi="Calibri" w:eastAsia="黑体" w:cs="宋体"/>
          <w:kern w:val="0"/>
          <w:sz w:val="32"/>
          <w:szCs w:val="32"/>
        </w:rPr>
      </w:pPr>
      <w:r>
        <w:rPr>
          <w:rFonts w:hint="eastAsia" w:ascii="仿宋_GB2312" w:hAnsi="宋体" w:eastAsia="仿宋_GB2312" w:cs="宋体"/>
          <w:bCs/>
          <w:kern w:val="0"/>
          <w:sz w:val="32"/>
          <w:szCs w:val="32"/>
        </w:rPr>
        <w:t>2.</w:t>
      </w:r>
      <w:r>
        <w:rPr>
          <w:rFonts w:hint="eastAsia" w:ascii="仿宋_GB2312" w:hAnsi="宋体" w:eastAsia="仿宋_GB2312" w:cs="宋体"/>
          <w:kern w:val="0"/>
          <w:sz w:val="32"/>
          <w:szCs w:val="32"/>
        </w:rPr>
        <w:t>2027年12月15日前：县（市、区）科技主管</w:t>
      </w:r>
      <w:r>
        <w:rPr>
          <w:rFonts w:hint="eastAsia" w:ascii="仿宋_GB2312" w:hAnsi="黑体" w:eastAsia="仿宋_GB2312"/>
          <w:sz w:val="32"/>
          <w:szCs w:val="32"/>
        </w:rPr>
        <w:t>部门审核完成科技特派员提交的期满工作报告，对照三方协议中填报的任务指标以及提交的其他佐证资料等完成评分</w:t>
      </w:r>
      <w:r>
        <w:rPr>
          <w:rFonts w:hint="eastAsia" w:ascii="仿宋_GB2312" w:hAnsi="宋体" w:eastAsia="仿宋_GB2312" w:cs="宋体"/>
          <w:kern w:val="0"/>
          <w:sz w:val="32"/>
          <w:szCs w:val="32"/>
        </w:rPr>
        <w:t>。</w:t>
      </w:r>
    </w:p>
    <w:p w14:paraId="4363FDC7">
      <w:pPr>
        <w:widowControl/>
        <w:spacing w:line="60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3.2027年12月31日前：设区市、平潭综合实验区科技主管部门出具公函将期满考核结果报送至省科技厅。</w:t>
      </w:r>
    </w:p>
    <w:p w14:paraId="1E14F317">
      <w:pPr>
        <w:widowControl/>
        <w:spacing w:line="60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4.2028年2月底前：省科技厅公布期满考核结果。</w:t>
      </w:r>
    </w:p>
    <w:p w14:paraId="0CD73A1F">
      <w:pPr>
        <w:widowControl/>
        <w:spacing w:line="600" w:lineRule="exact"/>
        <w:ind w:firstLine="640" w:firstLineChars="200"/>
        <w:rPr>
          <w:rFonts w:hint="eastAsia" w:ascii="黑体" w:hAnsi="宋体" w:eastAsia="黑体" w:cs="宋体"/>
          <w:kern w:val="0"/>
          <w:sz w:val="32"/>
          <w:szCs w:val="32"/>
        </w:rPr>
      </w:pPr>
      <w:r>
        <w:rPr>
          <w:rFonts w:hint="eastAsia" w:ascii="黑体" w:hAnsi="宋体" w:eastAsia="黑体" w:cs="宋体"/>
          <w:bCs/>
          <w:kern w:val="0"/>
          <w:sz w:val="32"/>
          <w:szCs w:val="32"/>
        </w:rPr>
        <w:t>五、考核结果应用</w:t>
      </w:r>
    </w:p>
    <w:p w14:paraId="0D46DEE5">
      <w:pPr>
        <w:widowControl/>
        <w:spacing w:line="600" w:lineRule="exact"/>
        <w:ind w:firstLine="640"/>
        <w:rPr>
          <w:rFonts w:hint="eastAsia" w:ascii="仿宋_GB2312" w:hAnsi="Calibri" w:eastAsia="仿宋_GB2312" w:cs="宋体"/>
          <w:color w:val="000000"/>
          <w:kern w:val="0"/>
          <w:sz w:val="32"/>
          <w:szCs w:val="32"/>
        </w:rPr>
      </w:pPr>
      <w:r>
        <w:rPr>
          <w:rFonts w:hint="eastAsia" w:ascii="仿宋_GB2312" w:hAnsi="Calibri" w:eastAsia="仿宋_GB2312" w:cs="宋体"/>
          <w:color w:val="000000"/>
          <w:kern w:val="0"/>
          <w:sz w:val="32"/>
          <w:szCs w:val="32"/>
        </w:rPr>
        <w:t>考核合格的省级科技特派员，按照《福建省科技特派员专项资金管理办法》（</w:t>
      </w:r>
      <w:r>
        <w:rPr>
          <w:rFonts w:hint="eastAsia" w:ascii="仿宋_GB2312" w:hAnsi="宋体" w:eastAsia="仿宋_GB2312" w:cs="宋体"/>
          <w:color w:val="000000"/>
          <w:kern w:val="0"/>
          <w:sz w:val="32"/>
          <w:szCs w:val="32"/>
        </w:rPr>
        <w:t>闽财规〔202</w:t>
      </w:r>
      <w:r>
        <w:rPr>
          <w:rFonts w:hint="eastAsia" w:ascii="仿宋_GB2312" w:hAnsi="宋体" w:eastAsia="仿宋_GB2312" w:cs="宋体"/>
          <w:color w:val="000000"/>
          <w:kern w:val="0"/>
          <w:sz w:val="32"/>
          <w:szCs w:val="32"/>
          <w:lang w:val="en-US" w:eastAsia="zh-CN"/>
        </w:rPr>
        <w:t>5</w:t>
      </w:r>
      <w:r>
        <w:rPr>
          <w:rFonts w:hint="eastAsia"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lang w:val="en-US" w:eastAsia="zh-CN"/>
        </w:rPr>
        <w:t>2</w:t>
      </w:r>
      <w:r>
        <w:rPr>
          <w:rFonts w:hint="eastAsia" w:ascii="仿宋_GB2312" w:hAnsi="宋体" w:eastAsia="仿宋_GB2312" w:cs="宋体"/>
          <w:color w:val="000000"/>
          <w:kern w:val="0"/>
          <w:sz w:val="32"/>
          <w:szCs w:val="32"/>
        </w:rPr>
        <w:t>号</w:t>
      </w:r>
      <w:r>
        <w:rPr>
          <w:rFonts w:hint="eastAsia" w:ascii="仿宋_GB2312" w:hAnsi="Calibri" w:eastAsia="仿宋_GB2312" w:cs="宋体"/>
          <w:color w:val="000000"/>
          <w:kern w:val="0"/>
          <w:sz w:val="32"/>
          <w:szCs w:val="32"/>
        </w:rPr>
        <w:t>）</w:t>
      </w:r>
      <w:r>
        <w:rPr>
          <w:rFonts w:hint="eastAsia" w:ascii="仿宋_GB2312" w:hAnsi="宋体" w:eastAsia="仿宋_GB2312" w:cs="宋体"/>
          <w:color w:val="000000"/>
          <w:kern w:val="0"/>
          <w:sz w:val="32"/>
          <w:szCs w:val="32"/>
        </w:rPr>
        <w:t>的相关规定报销或包干使用科技特派员工作经费</w:t>
      </w:r>
      <w:r>
        <w:rPr>
          <w:rFonts w:hint="eastAsia" w:ascii="仿宋_GB2312" w:hAnsi="Calibri" w:eastAsia="仿宋_GB2312" w:cs="宋体"/>
          <w:color w:val="000000"/>
          <w:kern w:val="0"/>
          <w:sz w:val="32"/>
          <w:szCs w:val="32"/>
        </w:rPr>
        <w:t>。年度考核结果作为下一年省级科技特派员继续服务或下一轮参加选认的重要参考依据。</w:t>
      </w:r>
    </w:p>
    <w:p w14:paraId="0AC2D972">
      <w:pPr>
        <w:widowControl/>
        <w:spacing w:line="600" w:lineRule="exact"/>
        <w:ind w:firstLine="640"/>
        <w:rPr>
          <w:rFonts w:ascii="仿宋_GB2312" w:hAnsi="Calibri" w:eastAsia="仿宋_GB2312" w:cs="宋体"/>
          <w:color w:val="000000"/>
          <w:kern w:val="0"/>
          <w:sz w:val="32"/>
          <w:szCs w:val="32"/>
        </w:rPr>
      </w:pPr>
      <w:bookmarkStart w:id="2" w:name="OLE_LINK2"/>
      <w:r>
        <w:rPr>
          <w:rFonts w:hint="eastAsia" w:ascii="仿宋_GB2312" w:hAnsi="Calibri" w:eastAsia="仿宋_GB2312" w:cs="宋体"/>
          <w:color w:val="000000"/>
          <w:kern w:val="0"/>
          <w:sz w:val="32"/>
          <w:szCs w:val="32"/>
        </w:rPr>
        <w:t>期中考核与期满考核不合格和不定考核结果人员，不予包干使用工作经费，剩余工作经费由各级财政收回统筹用于推进科技特派员有关工作。</w:t>
      </w:r>
      <w:bookmarkEnd w:id="2"/>
      <w:r>
        <w:rPr>
          <w:rFonts w:hint="eastAsia" w:ascii="仿宋_GB2312" w:hAnsi="Calibri" w:eastAsia="仿宋_GB2312" w:cs="宋体"/>
          <w:color w:val="000000"/>
          <w:kern w:val="0"/>
          <w:sz w:val="32"/>
          <w:szCs w:val="32"/>
        </w:rPr>
        <w:t>考核不合格人员2年内不得参与选认各级科技特派员。</w:t>
      </w:r>
    </w:p>
    <w:p w14:paraId="5F3B3DAC">
      <w:pPr>
        <w:widowControl/>
        <w:spacing w:line="600" w:lineRule="exact"/>
        <w:ind w:firstLine="640"/>
        <w:rPr>
          <w:rFonts w:hint="eastAsia" w:ascii="黑体" w:hAnsi="宋体" w:eastAsia="黑体" w:cs="宋体"/>
          <w:bCs/>
          <w:kern w:val="0"/>
          <w:sz w:val="32"/>
          <w:szCs w:val="32"/>
        </w:rPr>
      </w:pPr>
      <w:r>
        <w:rPr>
          <w:rFonts w:hint="eastAsia" w:ascii="黑体" w:hAnsi="宋体" w:eastAsia="黑体" w:cs="宋体"/>
          <w:bCs/>
          <w:kern w:val="0"/>
          <w:sz w:val="32"/>
          <w:szCs w:val="32"/>
        </w:rPr>
        <w:t>六、其他事项</w:t>
      </w:r>
    </w:p>
    <w:p w14:paraId="7B5C98A1">
      <w:pPr>
        <w:widowControl/>
        <w:spacing w:line="600" w:lineRule="exact"/>
        <w:ind w:firstLine="64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（一）考核对象应保证所提供材料的真实性，并对信息虚假导致的后果承担责任。各考核主体应本着公平、公正、公开原则组织做好考核工作，认真审核考核材料，严格按照考核对象的业绩和表现确定考核结果。</w:t>
      </w:r>
    </w:p>
    <w:p w14:paraId="47E5F2E5">
      <w:pPr>
        <w:widowControl/>
        <w:spacing w:line="600" w:lineRule="exact"/>
        <w:ind w:firstLine="640"/>
        <w:rPr>
          <w:rFonts w:hint="eastAsia" w:ascii="仿宋_GB2312" w:eastAsia="仿宋_GB2312"/>
          <w:sz w:val="32"/>
          <w:szCs w:val="32"/>
        </w:rPr>
      </w:pPr>
      <w:r>
        <w:rPr>
          <w:rFonts w:hint="eastAsia" w:ascii="仿宋_GB2312" w:hAnsi="宋体" w:eastAsia="仿宋_GB2312" w:cs="宋体"/>
          <w:kern w:val="0"/>
          <w:sz w:val="32"/>
          <w:szCs w:val="32"/>
        </w:rPr>
        <w:t>（二）</w:t>
      </w:r>
      <w:r>
        <w:rPr>
          <w:rFonts w:hint="eastAsia" w:ascii="仿宋_GB2312" w:hAnsi="仿宋_GB2312" w:eastAsia="仿宋_GB2312" w:cs="仿宋_GB2312"/>
          <w:bCs/>
          <w:color w:val="000000"/>
          <w:kern w:val="0"/>
          <w:sz w:val="32"/>
          <w:szCs w:val="32"/>
        </w:rPr>
        <w:t>根据</w:t>
      </w:r>
      <w:r>
        <w:rPr>
          <w:rFonts w:hint="eastAsia" w:ascii="仿宋_GB2312" w:eastAsia="仿宋_GB2312"/>
          <w:sz w:val="32"/>
          <w:szCs w:val="32"/>
        </w:rPr>
        <w:t>《福建省科技特派员专项资金管理办法》，同单位或服务同一经济实体的科技特派员，在自愿原则下，可将工作经费统筹用于自选项目。科技特派员工作经费既可用于科技特派员主服务区域也可用于本人的其他服务区域。</w:t>
      </w:r>
    </w:p>
    <w:p w14:paraId="13B545E3">
      <w:pPr>
        <w:widowControl/>
        <w:spacing w:line="600" w:lineRule="exact"/>
        <w:ind w:firstLine="64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（三）考核相关问题，请联系省科技厅农村科技处（联系人：杨际伟0591-88060137，喻燕萍0591-87883255）。平台技术问题，请联系福建省科技特派员服务云平台（电话：0591-87869374）。</w:t>
      </w:r>
    </w:p>
    <w:p w14:paraId="655BD063">
      <w:pPr>
        <w:widowControl/>
        <w:spacing w:line="600" w:lineRule="exact"/>
        <w:ind w:firstLine="640"/>
        <w:rPr>
          <w:rFonts w:hint="eastAsia" w:ascii="仿宋_GB2312" w:hAnsi="宋体" w:eastAsia="仿宋_GB2312" w:cs="宋体"/>
          <w:kern w:val="0"/>
          <w:sz w:val="32"/>
          <w:szCs w:val="32"/>
        </w:rPr>
      </w:pPr>
    </w:p>
    <w:p w14:paraId="0783706B">
      <w:pPr>
        <w:pStyle w:val="10"/>
        <w:spacing w:after="0" w:line="600" w:lineRule="exact"/>
        <w:ind w:firstLine="320"/>
        <w:rPr>
          <w:rFonts w:hint="eastAsia" w:ascii="仿宋_GB2312" w:hAnsi="宋体" w:eastAsia="仿宋_GB2312" w:cs="宋体"/>
          <w:sz w:val="32"/>
          <w:szCs w:val="32"/>
        </w:rPr>
      </w:pPr>
      <w:r>
        <w:rPr>
          <w:rFonts w:hint="eastAsia" w:ascii="仿宋_GB2312" w:hAnsi="宋体" w:eastAsia="仿宋_GB2312" w:cs="宋体"/>
          <w:sz w:val="32"/>
          <w:szCs w:val="32"/>
        </w:rPr>
        <w:t xml:space="preserve">    附件：1.福建省个人科技特派员期中考核指标</w:t>
      </w:r>
    </w:p>
    <w:p w14:paraId="7BD2B502">
      <w:pPr>
        <w:pStyle w:val="10"/>
        <w:spacing w:after="0" w:line="600" w:lineRule="exact"/>
        <w:ind w:firstLine="1910" w:firstLineChars="597"/>
        <w:rPr>
          <w:rFonts w:hint="eastAsia" w:ascii="仿宋_GB2312" w:hAnsi="宋体" w:eastAsia="仿宋_GB2312" w:cs="宋体"/>
          <w:sz w:val="32"/>
          <w:szCs w:val="32"/>
        </w:rPr>
      </w:pPr>
      <w:r>
        <w:rPr>
          <w:rFonts w:hint="eastAsia" w:ascii="仿宋_GB2312" w:hAnsi="宋体" w:eastAsia="仿宋_GB2312" w:cs="宋体"/>
          <w:sz w:val="32"/>
          <w:szCs w:val="32"/>
        </w:rPr>
        <w:t>2.福建省个人科技特派员期满考核评分表</w:t>
      </w:r>
    </w:p>
    <w:p w14:paraId="2DE10224">
      <w:pPr>
        <w:pStyle w:val="10"/>
        <w:spacing w:after="0" w:line="600" w:lineRule="exact"/>
        <w:ind w:left="2220" w:leftChars="908" w:hanging="313" w:hangingChars="98"/>
        <w:rPr>
          <w:rFonts w:ascii="仿宋_GB2312" w:hAnsi="宋体" w:eastAsia="仿宋_GB2312" w:cs="宋体"/>
          <w:sz w:val="32"/>
          <w:szCs w:val="32"/>
        </w:rPr>
      </w:pPr>
      <w:r>
        <w:rPr>
          <w:rFonts w:hint="eastAsia" w:ascii="仿宋_GB2312" w:hAnsi="宋体" w:eastAsia="仿宋_GB2312" w:cs="宋体"/>
          <w:sz w:val="32"/>
          <w:szCs w:val="32"/>
        </w:rPr>
        <w:t>3.福建省科技特派员服务成效评价表（服务对象填写）</w:t>
      </w:r>
    </w:p>
    <w:p w14:paraId="6910575B">
      <w:pPr>
        <w:pStyle w:val="10"/>
        <w:spacing w:after="0" w:line="600" w:lineRule="exact"/>
        <w:ind w:left="2220" w:leftChars="908" w:hanging="313" w:hangingChars="98"/>
        <w:rPr>
          <w:rFonts w:hint="eastAsia" w:ascii="仿宋_GB2312" w:hAnsi="宋体" w:eastAsia="仿宋_GB2312" w:cs="宋体"/>
          <w:sz w:val="32"/>
          <w:szCs w:val="32"/>
          <w:lang w:val="en-US" w:eastAsia="zh-CN"/>
        </w:rPr>
      </w:pPr>
      <w:r>
        <w:rPr>
          <w:rFonts w:hint="eastAsia" w:ascii="仿宋_GB2312" w:hAnsi="宋体" w:eastAsia="仿宋_GB2312" w:cs="宋体"/>
          <w:sz w:val="32"/>
          <w:szCs w:val="32"/>
        </w:rPr>
        <w:t>4.福建省科技特派员服务成效评价表[县（市、区）科技主管部门填写</w:t>
      </w:r>
      <w:r>
        <w:rPr>
          <w:rFonts w:hint="eastAsia" w:ascii="仿宋_GB2312" w:hAnsi="宋体" w:eastAsia="仿宋_GB2312" w:cs="宋体"/>
          <w:sz w:val="32"/>
          <w:szCs w:val="32"/>
          <w:lang w:val="en-US" w:eastAsia="zh-CN"/>
        </w:rPr>
        <w:t>]</w:t>
      </w:r>
    </w:p>
    <w:p w14:paraId="0542826A">
      <w:pPr>
        <w:pStyle w:val="10"/>
        <w:spacing w:after="0" w:line="600" w:lineRule="exact"/>
        <w:ind w:left="2220" w:leftChars="908" w:hanging="313" w:hangingChars="98"/>
        <w:rPr>
          <w:rFonts w:ascii="仿宋_GB2312" w:hAnsi="宋体" w:eastAsia="仿宋_GB2312" w:cs="宋体"/>
          <w:sz w:val="32"/>
          <w:szCs w:val="32"/>
        </w:rPr>
      </w:pPr>
      <w:r>
        <w:rPr>
          <w:rFonts w:hint="eastAsia" w:ascii="仿宋_GB2312" w:hAnsi="宋体" w:eastAsia="仿宋_GB2312" w:cs="宋体"/>
          <w:sz w:val="32"/>
          <w:szCs w:val="32"/>
        </w:rPr>
        <w:t>5.2026-2027年度省级科技特派员考核云平台操作指南</w:t>
      </w:r>
    </w:p>
    <w:p w14:paraId="67B5BC18">
      <w:pPr>
        <w:pStyle w:val="10"/>
        <w:spacing w:after="0" w:line="600" w:lineRule="exact"/>
        <w:ind w:firstLine="419" w:firstLineChars="131"/>
        <w:rPr>
          <w:rFonts w:hint="eastAsia" w:ascii="仿宋_GB2312" w:eastAsia="仿宋_GB2312"/>
          <w:sz w:val="32"/>
          <w:szCs w:val="32"/>
        </w:rPr>
      </w:pPr>
    </w:p>
    <w:p w14:paraId="1E1E8AD1">
      <w:pPr>
        <w:widowControl/>
        <w:spacing w:line="600" w:lineRule="exact"/>
        <w:rPr>
          <w:rFonts w:ascii="黑体" w:hAnsi="宋体" w:eastAsia="黑体" w:cs="宋体"/>
          <w:kern w:val="0"/>
          <w:sz w:val="32"/>
          <w:szCs w:val="32"/>
        </w:rPr>
        <w:sectPr>
          <w:footerReference r:id="rId3" w:type="default"/>
          <w:pgSz w:w="11906" w:h="16838"/>
          <w:pgMar w:top="2098" w:right="1531" w:bottom="1531" w:left="1531" w:header="851" w:footer="992" w:gutter="0"/>
          <w:pgNumType w:fmt="numberInDash"/>
          <w:cols w:space="720" w:num="1"/>
          <w:docGrid w:type="lines" w:linePitch="314" w:charSpace="0"/>
        </w:sectPr>
      </w:pPr>
    </w:p>
    <w:p w14:paraId="428227FD">
      <w:pPr>
        <w:widowControl/>
        <w:rPr>
          <w:rFonts w:hint="eastAsia" w:ascii="黑体" w:hAnsi="宋体" w:eastAsia="黑体" w:cs="宋体"/>
          <w:kern w:val="0"/>
          <w:sz w:val="32"/>
          <w:szCs w:val="32"/>
        </w:rPr>
      </w:pPr>
      <w:r>
        <w:rPr>
          <w:rFonts w:hint="eastAsia" w:ascii="黑体" w:hAnsi="宋体" w:eastAsia="黑体" w:cs="宋体"/>
          <w:kern w:val="0"/>
          <w:sz w:val="32"/>
          <w:szCs w:val="32"/>
        </w:rPr>
        <w:t>附件1</w:t>
      </w:r>
    </w:p>
    <w:p w14:paraId="0D214A08">
      <w:pPr>
        <w:spacing w:afterLines="50" w:line="540" w:lineRule="exact"/>
        <w:jc w:val="center"/>
        <w:rPr>
          <w:rFonts w:ascii="仿宋_GB2312" w:hAnsi="黑体" w:eastAsia="仿宋_GB2312"/>
          <w:b/>
          <w:sz w:val="44"/>
          <w:szCs w:val="44"/>
        </w:rPr>
      </w:pPr>
      <w:r>
        <w:rPr>
          <w:rFonts w:hint="eastAsia" w:ascii="仿宋_GB2312" w:hAnsi="黑体" w:eastAsia="仿宋_GB2312"/>
          <w:b/>
          <w:sz w:val="44"/>
          <w:szCs w:val="44"/>
        </w:rPr>
        <w:t>福建省个人科技特派员期中考核指标</w:t>
      </w:r>
    </w:p>
    <w:tbl>
      <w:tblPr>
        <w:tblStyle w:val="11"/>
        <w:tblW w:w="11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5"/>
        <w:gridCol w:w="1911"/>
        <w:gridCol w:w="5604"/>
        <w:gridCol w:w="3038"/>
      </w:tblGrid>
      <w:tr w14:paraId="5C506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3336" w:type="dxa"/>
            <w:gridSpan w:val="2"/>
            <w:vAlign w:val="center"/>
          </w:tcPr>
          <w:p w14:paraId="2F12C140">
            <w:pPr>
              <w:spacing w:after="120"/>
              <w:jc w:val="center"/>
              <w:rPr>
                <w:rFonts w:ascii="仿宋_GB2312" w:hAnsi="黑体" w:eastAsia="仿宋_GB2312"/>
                <w:b/>
                <w:bCs/>
                <w:sz w:val="24"/>
              </w:rPr>
            </w:pPr>
            <w:r>
              <w:rPr>
                <w:rFonts w:hint="eastAsia" w:ascii="仿宋_GB2312" w:hAnsi="黑体" w:eastAsia="仿宋_GB2312"/>
                <w:b/>
                <w:bCs/>
                <w:sz w:val="24"/>
              </w:rPr>
              <w:t>考核内容</w:t>
            </w:r>
          </w:p>
        </w:tc>
        <w:tc>
          <w:tcPr>
            <w:tcW w:w="5604" w:type="dxa"/>
            <w:vAlign w:val="center"/>
          </w:tcPr>
          <w:p w14:paraId="3D463305">
            <w:pPr>
              <w:spacing w:after="120"/>
              <w:jc w:val="center"/>
              <w:rPr>
                <w:rFonts w:ascii="仿宋_GB2312" w:hAnsi="黑体" w:eastAsia="仿宋_GB2312"/>
                <w:b/>
                <w:bCs/>
                <w:sz w:val="24"/>
              </w:rPr>
            </w:pPr>
            <w:r>
              <w:rPr>
                <w:rFonts w:hint="eastAsia" w:ascii="仿宋_GB2312" w:hAnsi="黑体" w:eastAsia="仿宋_GB2312"/>
                <w:b/>
                <w:bCs/>
                <w:sz w:val="24"/>
              </w:rPr>
              <w:t>合格标准</w:t>
            </w:r>
          </w:p>
        </w:tc>
        <w:tc>
          <w:tcPr>
            <w:tcW w:w="3038" w:type="dxa"/>
            <w:vAlign w:val="center"/>
          </w:tcPr>
          <w:p w14:paraId="115943E9">
            <w:pPr>
              <w:spacing w:after="120"/>
              <w:jc w:val="center"/>
              <w:rPr>
                <w:rFonts w:ascii="仿宋_GB2312" w:hAnsi="黑体" w:eastAsia="仿宋_GB2312"/>
                <w:b/>
                <w:bCs/>
                <w:sz w:val="24"/>
              </w:rPr>
            </w:pPr>
            <w:r>
              <w:rPr>
                <w:rFonts w:hint="eastAsia" w:ascii="仿宋_GB2312" w:hAnsi="黑体" w:eastAsia="仿宋_GB2312"/>
                <w:b/>
                <w:bCs/>
                <w:sz w:val="24"/>
              </w:rPr>
              <w:t>时间节点</w:t>
            </w:r>
          </w:p>
        </w:tc>
      </w:tr>
      <w:tr w14:paraId="30776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0" w:hRule="atLeast"/>
          <w:jc w:val="center"/>
        </w:trPr>
        <w:tc>
          <w:tcPr>
            <w:tcW w:w="1425" w:type="dxa"/>
            <w:vAlign w:val="center"/>
          </w:tcPr>
          <w:p w14:paraId="7D704D69">
            <w:pPr>
              <w:spacing w:after="120"/>
              <w:jc w:val="left"/>
              <w:rPr>
                <w:rFonts w:ascii="仿宋_GB2312" w:hAnsi="黑体" w:eastAsia="仿宋_GB2312"/>
                <w:sz w:val="24"/>
              </w:rPr>
            </w:pPr>
            <w:r>
              <w:rPr>
                <w:rFonts w:hint="eastAsia" w:ascii="仿宋_GB2312" w:hAnsi="黑体" w:eastAsia="仿宋_GB2312"/>
                <w:sz w:val="24"/>
              </w:rPr>
              <w:t>履职情况</w:t>
            </w:r>
          </w:p>
        </w:tc>
        <w:tc>
          <w:tcPr>
            <w:tcW w:w="1911" w:type="dxa"/>
            <w:vAlign w:val="center"/>
          </w:tcPr>
          <w:p w14:paraId="274BB626">
            <w:pPr>
              <w:spacing w:after="120"/>
              <w:jc w:val="left"/>
              <w:rPr>
                <w:rFonts w:ascii="仿宋_GB2312" w:hAnsi="黑体" w:eastAsia="仿宋_GB2312"/>
                <w:sz w:val="24"/>
              </w:rPr>
            </w:pPr>
            <w:r>
              <w:rPr>
                <w:rFonts w:hint="eastAsia" w:ascii="仿宋_GB2312" w:hAnsi="黑体" w:eastAsia="仿宋_GB2312"/>
                <w:sz w:val="24"/>
              </w:rPr>
              <w:t>现场实地服务</w:t>
            </w:r>
          </w:p>
        </w:tc>
        <w:tc>
          <w:tcPr>
            <w:tcW w:w="5604" w:type="dxa"/>
            <w:vAlign w:val="center"/>
          </w:tcPr>
          <w:p w14:paraId="0FAAC6A3">
            <w:pPr>
              <w:spacing w:after="120"/>
              <w:jc w:val="left"/>
              <w:rPr>
                <w:rFonts w:ascii="仿宋_GB2312" w:hAnsi="黑体" w:eastAsia="仿宋_GB2312"/>
                <w:sz w:val="24"/>
              </w:rPr>
            </w:pPr>
            <w:r>
              <w:rPr>
                <w:rFonts w:hint="eastAsia" w:ascii="仿宋_GB2312" w:hAnsi="黑体" w:eastAsia="仿宋_GB2312"/>
                <w:sz w:val="24"/>
              </w:rPr>
              <w:t>省内科技特派员开展现场实地服务累计6天以上（含6天）即为合格；省外科技特派员（包含服务省外及港澳台外籍科特派）开展现场实地服务累计3天以上（含3天）即为合格。</w:t>
            </w:r>
          </w:p>
        </w:tc>
        <w:tc>
          <w:tcPr>
            <w:tcW w:w="3038" w:type="dxa"/>
            <w:vAlign w:val="center"/>
          </w:tcPr>
          <w:p w14:paraId="27949E2B">
            <w:pPr>
              <w:spacing w:after="120"/>
              <w:jc w:val="left"/>
              <w:rPr>
                <w:rFonts w:ascii="仿宋_GB2312" w:hAnsi="黑体" w:eastAsia="仿宋_GB2312"/>
                <w:sz w:val="24"/>
              </w:rPr>
            </w:pPr>
            <w:r>
              <w:rPr>
                <w:rFonts w:hint="eastAsia" w:ascii="仿宋_GB2312" w:hAnsi="黑体" w:eastAsia="仿宋_GB2312"/>
                <w:sz w:val="24"/>
              </w:rPr>
              <w:t>统计时间范围为：</w:t>
            </w:r>
          </w:p>
          <w:p w14:paraId="61FF18B1">
            <w:pPr>
              <w:spacing w:after="120"/>
              <w:jc w:val="left"/>
              <w:rPr>
                <w:rFonts w:ascii="仿宋_GB2312" w:hAnsi="黑体" w:eastAsia="仿宋_GB2312"/>
                <w:sz w:val="24"/>
              </w:rPr>
            </w:pPr>
            <w:r>
              <w:rPr>
                <w:rFonts w:hint="eastAsia" w:ascii="仿宋_GB2312" w:hAnsi="黑体" w:eastAsia="仿宋_GB2312"/>
                <w:color w:val="000000"/>
                <w:sz w:val="24"/>
              </w:rPr>
              <w:t>选认结果公告之日起</w:t>
            </w:r>
            <w:r>
              <w:rPr>
                <w:rFonts w:hint="eastAsia" w:ascii="仿宋_GB2312" w:hAnsi="黑体" w:eastAsia="仿宋_GB2312"/>
                <w:sz w:val="24"/>
              </w:rPr>
              <w:t>至2027年3月31日</w:t>
            </w:r>
          </w:p>
        </w:tc>
      </w:tr>
      <w:tr w14:paraId="4EFF0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1425" w:type="dxa"/>
            <w:vAlign w:val="center"/>
          </w:tcPr>
          <w:p w14:paraId="509EB7E8">
            <w:pPr>
              <w:spacing w:after="120"/>
              <w:jc w:val="left"/>
              <w:rPr>
                <w:rFonts w:ascii="仿宋_GB2312" w:hAnsi="黑体" w:eastAsia="仿宋_GB2312"/>
                <w:sz w:val="24"/>
              </w:rPr>
            </w:pPr>
            <w:r>
              <w:rPr>
                <w:rFonts w:hint="eastAsia" w:ascii="仿宋_GB2312" w:hAnsi="黑体" w:eastAsia="仿宋_GB2312"/>
                <w:sz w:val="24"/>
              </w:rPr>
              <w:t>服务成效</w:t>
            </w:r>
          </w:p>
        </w:tc>
        <w:tc>
          <w:tcPr>
            <w:tcW w:w="1911" w:type="dxa"/>
            <w:vAlign w:val="center"/>
          </w:tcPr>
          <w:p w14:paraId="2A91EB14">
            <w:pPr>
              <w:spacing w:after="120"/>
              <w:jc w:val="left"/>
              <w:rPr>
                <w:rFonts w:ascii="仿宋_GB2312" w:hAnsi="黑体" w:eastAsia="仿宋_GB2312"/>
                <w:sz w:val="24"/>
              </w:rPr>
            </w:pPr>
            <w:r>
              <w:rPr>
                <w:rFonts w:hint="eastAsia" w:ascii="仿宋_GB2312" w:hAnsi="黑体" w:eastAsia="仿宋_GB2312"/>
                <w:sz w:val="24"/>
              </w:rPr>
              <w:t>期中工作报告</w:t>
            </w:r>
          </w:p>
        </w:tc>
        <w:tc>
          <w:tcPr>
            <w:tcW w:w="5604" w:type="dxa"/>
            <w:vAlign w:val="center"/>
          </w:tcPr>
          <w:p w14:paraId="11BCA3D5">
            <w:pPr>
              <w:spacing w:after="120"/>
              <w:jc w:val="left"/>
              <w:rPr>
                <w:rFonts w:hint="eastAsia" w:ascii="仿宋_GB2312" w:hAnsi="黑体" w:eastAsia="仿宋_GB2312"/>
                <w:sz w:val="24"/>
              </w:rPr>
            </w:pPr>
            <w:r>
              <w:rPr>
                <w:rFonts w:hint="eastAsia" w:ascii="仿宋_GB2312" w:hAnsi="黑体" w:eastAsia="仿宋_GB2312"/>
                <w:sz w:val="24"/>
              </w:rPr>
              <w:t>按时提交并通过县(市、区)科技主管部门审核即</w:t>
            </w:r>
          </w:p>
          <w:p w14:paraId="05627E64">
            <w:pPr>
              <w:spacing w:after="120"/>
              <w:jc w:val="left"/>
              <w:rPr>
                <w:rFonts w:ascii="仿宋_GB2312" w:hAnsi="黑体" w:eastAsia="仿宋_GB2312"/>
                <w:sz w:val="24"/>
              </w:rPr>
            </w:pPr>
            <w:r>
              <w:rPr>
                <w:rFonts w:hint="eastAsia" w:ascii="仿宋_GB2312" w:hAnsi="黑体" w:eastAsia="仿宋_GB2312"/>
                <w:sz w:val="24"/>
              </w:rPr>
              <w:t>为合格</w:t>
            </w:r>
          </w:p>
        </w:tc>
        <w:tc>
          <w:tcPr>
            <w:tcW w:w="3038" w:type="dxa"/>
            <w:vAlign w:val="center"/>
          </w:tcPr>
          <w:p w14:paraId="6C822820">
            <w:pPr>
              <w:spacing w:after="120"/>
              <w:jc w:val="left"/>
              <w:rPr>
                <w:rFonts w:ascii="仿宋_GB2312" w:hAnsi="黑体" w:eastAsia="仿宋_GB2312"/>
                <w:sz w:val="24"/>
              </w:rPr>
            </w:pPr>
            <w:r>
              <w:rPr>
                <w:rFonts w:hint="eastAsia" w:ascii="仿宋_GB2312" w:hAnsi="黑体" w:eastAsia="仿宋_GB2312"/>
                <w:sz w:val="24"/>
              </w:rPr>
              <w:t>科技特派员2027年3月31日前提交；县（市、区）科技主管部门2027年4月15日前审核。</w:t>
            </w:r>
          </w:p>
        </w:tc>
      </w:tr>
      <w:tr w14:paraId="4A061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30" w:hRule="atLeast"/>
          <w:jc w:val="center"/>
        </w:trPr>
        <w:tc>
          <w:tcPr>
            <w:tcW w:w="1425" w:type="dxa"/>
            <w:vMerge w:val="restart"/>
            <w:vAlign w:val="center"/>
          </w:tcPr>
          <w:p w14:paraId="3A733392">
            <w:pPr>
              <w:spacing w:after="120"/>
              <w:jc w:val="left"/>
              <w:rPr>
                <w:rFonts w:ascii="仿宋_GB2312" w:hAnsi="黑体" w:eastAsia="仿宋_GB2312"/>
                <w:sz w:val="24"/>
              </w:rPr>
            </w:pPr>
            <w:r>
              <w:rPr>
                <w:rFonts w:hint="eastAsia" w:ascii="仿宋_GB2312" w:hAnsi="黑体" w:eastAsia="仿宋_GB2312"/>
                <w:sz w:val="24"/>
              </w:rPr>
              <w:t>服务满意度</w:t>
            </w:r>
          </w:p>
        </w:tc>
        <w:tc>
          <w:tcPr>
            <w:tcW w:w="1911" w:type="dxa"/>
            <w:vAlign w:val="center"/>
          </w:tcPr>
          <w:p w14:paraId="60357CB9">
            <w:pPr>
              <w:spacing w:after="120"/>
              <w:jc w:val="left"/>
              <w:rPr>
                <w:rFonts w:ascii="仿宋_GB2312" w:hAnsi="黑体" w:eastAsia="仿宋_GB2312"/>
                <w:sz w:val="24"/>
              </w:rPr>
            </w:pPr>
            <w:r>
              <w:rPr>
                <w:rFonts w:hint="eastAsia" w:ascii="仿宋_GB2312" w:hAnsi="黑体" w:eastAsia="仿宋_GB2312"/>
                <w:sz w:val="24"/>
              </w:rPr>
              <w:t>服务对象满意度评价</w:t>
            </w:r>
          </w:p>
        </w:tc>
        <w:tc>
          <w:tcPr>
            <w:tcW w:w="5604" w:type="dxa"/>
            <w:vAlign w:val="center"/>
          </w:tcPr>
          <w:p w14:paraId="357C5D09">
            <w:pPr>
              <w:spacing w:after="120"/>
              <w:jc w:val="left"/>
              <w:rPr>
                <w:rFonts w:ascii="仿宋_GB2312" w:hAnsi="黑体" w:eastAsia="仿宋_GB2312"/>
                <w:sz w:val="24"/>
              </w:rPr>
            </w:pPr>
            <w:r>
              <w:rPr>
                <w:rFonts w:hint="eastAsia" w:ascii="仿宋_GB2312" w:hAnsi="黑体" w:eastAsia="仿宋_GB2312"/>
                <w:sz w:val="24"/>
              </w:rPr>
              <w:t>服务对象从科技特派员服务态度、解决问题、技术提升、经济效益、社会效益等几方面进行评价，三星及以上即为合格</w:t>
            </w:r>
          </w:p>
        </w:tc>
        <w:tc>
          <w:tcPr>
            <w:tcW w:w="3038" w:type="dxa"/>
            <w:vAlign w:val="center"/>
          </w:tcPr>
          <w:p w14:paraId="41C8CE5C">
            <w:pPr>
              <w:spacing w:after="120"/>
              <w:jc w:val="left"/>
              <w:rPr>
                <w:rFonts w:ascii="仿宋_GB2312" w:hAnsi="黑体" w:eastAsia="仿宋_GB2312"/>
                <w:sz w:val="24"/>
              </w:rPr>
            </w:pPr>
            <w:r>
              <w:rPr>
                <w:rFonts w:hint="eastAsia" w:ascii="仿宋_GB2312" w:hAnsi="黑体" w:eastAsia="仿宋_GB2312"/>
                <w:sz w:val="24"/>
              </w:rPr>
              <w:t>2027年3月31日前评价</w:t>
            </w:r>
          </w:p>
        </w:tc>
      </w:tr>
      <w:tr w14:paraId="384DA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1425" w:type="dxa"/>
            <w:vMerge w:val="continue"/>
            <w:vAlign w:val="center"/>
          </w:tcPr>
          <w:p w14:paraId="04DD8FA6">
            <w:pPr>
              <w:spacing w:after="120"/>
              <w:jc w:val="left"/>
              <w:rPr>
                <w:rFonts w:ascii="仿宋_GB2312" w:hAnsi="黑体" w:eastAsia="仿宋_GB2312"/>
                <w:sz w:val="24"/>
              </w:rPr>
            </w:pPr>
          </w:p>
        </w:tc>
        <w:tc>
          <w:tcPr>
            <w:tcW w:w="1911" w:type="dxa"/>
            <w:vAlign w:val="center"/>
          </w:tcPr>
          <w:p w14:paraId="65E51671">
            <w:pPr>
              <w:spacing w:after="120"/>
              <w:jc w:val="left"/>
              <w:rPr>
                <w:rFonts w:ascii="仿宋_GB2312" w:hAnsi="黑体" w:eastAsia="仿宋_GB2312"/>
                <w:sz w:val="24"/>
              </w:rPr>
            </w:pPr>
            <w:r>
              <w:rPr>
                <w:rFonts w:hint="eastAsia" w:ascii="仿宋_GB2312" w:hAnsi="黑体" w:eastAsia="仿宋_GB2312"/>
                <w:sz w:val="24"/>
              </w:rPr>
              <w:t>服务区域所在县级科技主管部门满意度评价</w:t>
            </w:r>
          </w:p>
        </w:tc>
        <w:tc>
          <w:tcPr>
            <w:tcW w:w="5604" w:type="dxa"/>
            <w:vAlign w:val="center"/>
          </w:tcPr>
          <w:p w14:paraId="37EF784E">
            <w:pPr>
              <w:spacing w:after="120"/>
              <w:jc w:val="left"/>
              <w:rPr>
                <w:rFonts w:ascii="仿宋_GB2312" w:hAnsi="黑体" w:eastAsia="仿宋_GB2312"/>
                <w:sz w:val="24"/>
              </w:rPr>
            </w:pPr>
            <w:r>
              <w:rPr>
                <w:rFonts w:hint="eastAsia" w:ascii="仿宋_GB2312" w:hAnsi="黑体" w:eastAsia="仿宋_GB2312"/>
                <w:sz w:val="24"/>
              </w:rPr>
              <w:t>县（市、区）科技主管部门从政策科技科普文化宣传、技术引进、成果转化、技术开发、形成新成果、技能培训、人才培养、创新创业、经济社会效益、科技特派员服务态度等几方面进行评价，三星及以上即为合格</w:t>
            </w:r>
          </w:p>
        </w:tc>
        <w:tc>
          <w:tcPr>
            <w:tcW w:w="3038" w:type="dxa"/>
            <w:vAlign w:val="center"/>
          </w:tcPr>
          <w:p w14:paraId="0C9DD2B6">
            <w:pPr>
              <w:spacing w:after="120"/>
              <w:jc w:val="left"/>
              <w:rPr>
                <w:rFonts w:ascii="仿宋_GB2312" w:hAnsi="黑体" w:eastAsia="仿宋_GB2312"/>
                <w:sz w:val="24"/>
              </w:rPr>
            </w:pPr>
            <w:r>
              <w:rPr>
                <w:rFonts w:hint="eastAsia" w:ascii="仿宋_GB2312" w:hAnsi="黑体" w:eastAsia="仿宋_GB2312"/>
                <w:sz w:val="24"/>
              </w:rPr>
              <w:t>2027年4月15日前评价</w:t>
            </w:r>
          </w:p>
        </w:tc>
      </w:tr>
    </w:tbl>
    <w:p w14:paraId="14FE04C2">
      <w:pPr>
        <w:jc w:val="left"/>
        <w:rPr>
          <w:rFonts w:ascii="仿宋_GB2312" w:hAnsi="黑体" w:eastAsia="仿宋_GB2312"/>
          <w:sz w:val="24"/>
        </w:rPr>
      </w:pPr>
    </w:p>
    <w:p w14:paraId="5428E438">
      <w:pPr>
        <w:spacing w:afterLines="50" w:line="540" w:lineRule="exact"/>
        <w:jc w:val="center"/>
        <w:rPr>
          <w:rFonts w:ascii="仿宋_GB2312" w:hAnsi="黑体" w:eastAsia="仿宋_GB2312"/>
          <w:b/>
          <w:sz w:val="44"/>
          <w:szCs w:val="44"/>
        </w:rPr>
        <w:sectPr>
          <w:pgSz w:w="16838" w:h="11906" w:orient="landscape"/>
          <w:pgMar w:top="1134" w:right="1701" w:bottom="567" w:left="1701" w:header="851" w:footer="1134" w:gutter="0"/>
          <w:pgNumType w:fmt="numberInDash"/>
          <w:cols w:space="720" w:num="1"/>
          <w:titlePg/>
          <w:docGrid w:type="linesAndChars" w:linePitch="312" w:charSpace="0"/>
        </w:sectPr>
      </w:pPr>
    </w:p>
    <w:p w14:paraId="7124441D">
      <w:pPr>
        <w:spacing w:afterLines="50" w:line="540" w:lineRule="exact"/>
        <w:jc w:val="left"/>
        <w:rPr>
          <w:rFonts w:hint="eastAsia" w:ascii="仿宋_GB2312" w:hAnsi="黑体" w:eastAsia="仿宋_GB2312"/>
          <w:b/>
          <w:sz w:val="32"/>
          <w:szCs w:val="32"/>
        </w:rPr>
      </w:pPr>
      <w:r>
        <w:rPr>
          <w:rFonts w:hint="eastAsia" w:ascii="仿宋_GB2312" w:hAnsi="黑体" w:eastAsia="仿宋_GB2312"/>
          <w:b/>
          <w:sz w:val="32"/>
          <w:szCs w:val="32"/>
        </w:rPr>
        <w:t>附件2</w:t>
      </w:r>
    </w:p>
    <w:p w14:paraId="5C77A004">
      <w:pPr>
        <w:spacing w:afterLines="50" w:line="540" w:lineRule="exact"/>
        <w:jc w:val="center"/>
        <w:rPr>
          <w:rFonts w:ascii="仿宋_GB2312" w:hAnsi="黑体" w:eastAsia="仿宋_GB2312"/>
          <w:b/>
          <w:sz w:val="44"/>
          <w:szCs w:val="44"/>
        </w:rPr>
      </w:pPr>
      <w:r>
        <w:rPr>
          <w:rFonts w:hint="eastAsia" w:ascii="仿宋_GB2312" w:hAnsi="黑体" w:eastAsia="仿宋_GB2312"/>
          <w:b/>
          <w:sz w:val="44"/>
          <w:szCs w:val="44"/>
        </w:rPr>
        <w:t>福建省个人科技特派员期满考核评分表</w:t>
      </w:r>
    </w:p>
    <w:tbl>
      <w:tblPr>
        <w:tblStyle w:val="11"/>
        <w:tblW w:w="1442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60"/>
        <w:gridCol w:w="1033"/>
        <w:gridCol w:w="1096"/>
        <w:gridCol w:w="2826"/>
        <w:gridCol w:w="886"/>
        <w:gridCol w:w="958"/>
        <w:gridCol w:w="933"/>
        <w:gridCol w:w="884"/>
        <w:gridCol w:w="1068"/>
        <w:gridCol w:w="3681"/>
      </w:tblGrid>
      <w:tr w14:paraId="6FB527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060" w:type="dxa"/>
            <w:vAlign w:val="center"/>
          </w:tcPr>
          <w:p w14:paraId="5C2BE2C1">
            <w:pPr>
              <w:widowControl/>
              <w:jc w:val="center"/>
              <w:rPr>
                <w:rFonts w:ascii="仿宋_GB2312" w:hAnsi="黑体" w:eastAsia="仿宋_GB2312" w:cs="黑体"/>
                <w:b/>
                <w:bCs/>
                <w:color w:val="000000"/>
              </w:rPr>
            </w:pPr>
            <w:r>
              <w:rPr>
                <w:rFonts w:hint="eastAsia" w:ascii="仿宋_GB2312" w:hAnsi="黑体" w:eastAsia="仿宋_GB2312" w:cs="黑体"/>
                <w:b/>
                <w:bCs/>
                <w:color w:val="000000"/>
              </w:rPr>
              <w:t>考评总项</w:t>
            </w:r>
          </w:p>
        </w:tc>
        <w:tc>
          <w:tcPr>
            <w:tcW w:w="1033" w:type="dxa"/>
            <w:vAlign w:val="center"/>
          </w:tcPr>
          <w:p w14:paraId="007B24D8">
            <w:pPr>
              <w:widowControl/>
              <w:jc w:val="center"/>
              <w:rPr>
                <w:rFonts w:ascii="仿宋_GB2312" w:hAnsi="黑体" w:eastAsia="仿宋_GB2312" w:cs="黑体"/>
                <w:b/>
                <w:bCs/>
                <w:color w:val="000000"/>
              </w:rPr>
            </w:pPr>
            <w:r>
              <w:rPr>
                <w:rFonts w:hint="eastAsia" w:ascii="仿宋_GB2312" w:hAnsi="黑体" w:eastAsia="仿宋_GB2312" w:cs="黑体"/>
                <w:b/>
                <w:bCs/>
                <w:color w:val="000000"/>
              </w:rPr>
              <w:t>评分人</w:t>
            </w:r>
          </w:p>
        </w:tc>
        <w:tc>
          <w:tcPr>
            <w:tcW w:w="1096" w:type="dxa"/>
            <w:vAlign w:val="center"/>
          </w:tcPr>
          <w:p w14:paraId="7E37215F">
            <w:pPr>
              <w:widowControl/>
              <w:jc w:val="center"/>
              <w:rPr>
                <w:rFonts w:ascii="仿宋_GB2312" w:hAnsi="黑体" w:eastAsia="仿宋_GB2312" w:cs="黑体"/>
                <w:b/>
                <w:bCs/>
                <w:color w:val="000000"/>
              </w:rPr>
            </w:pPr>
            <w:r>
              <w:rPr>
                <w:rFonts w:hint="eastAsia" w:ascii="仿宋_GB2312" w:hAnsi="黑体" w:eastAsia="仿宋_GB2312" w:cs="黑体"/>
                <w:b/>
                <w:bCs/>
                <w:color w:val="000000"/>
              </w:rPr>
              <w:t>考评分项</w:t>
            </w:r>
          </w:p>
        </w:tc>
        <w:tc>
          <w:tcPr>
            <w:tcW w:w="2826" w:type="dxa"/>
            <w:vAlign w:val="center"/>
          </w:tcPr>
          <w:p w14:paraId="12FC4645">
            <w:pPr>
              <w:widowControl/>
              <w:jc w:val="center"/>
              <w:rPr>
                <w:rFonts w:ascii="仿宋_GB2312" w:hAnsi="黑体" w:eastAsia="仿宋_GB2312" w:cs="黑体"/>
                <w:b/>
                <w:bCs/>
                <w:color w:val="000000"/>
              </w:rPr>
            </w:pPr>
            <w:r>
              <w:rPr>
                <w:rFonts w:hint="eastAsia" w:ascii="仿宋_GB2312" w:hAnsi="黑体" w:eastAsia="仿宋_GB2312" w:cs="黑体"/>
                <w:b/>
                <w:bCs/>
                <w:color w:val="000000"/>
              </w:rPr>
              <w:t>分项说明</w:t>
            </w:r>
          </w:p>
        </w:tc>
        <w:tc>
          <w:tcPr>
            <w:tcW w:w="4729" w:type="dxa"/>
            <w:gridSpan w:val="5"/>
            <w:vAlign w:val="center"/>
          </w:tcPr>
          <w:p w14:paraId="44188C12">
            <w:pPr>
              <w:widowControl/>
              <w:jc w:val="center"/>
              <w:rPr>
                <w:rFonts w:ascii="仿宋_GB2312" w:hAnsi="黑体" w:eastAsia="仿宋_GB2312" w:cs="黑体"/>
                <w:b/>
                <w:bCs/>
                <w:color w:val="000000"/>
              </w:rPr>
            </w:pPr>
            <w:r>
              <w:rPr>
                <w:rFonts w:hint="eastAsia" w:ascii="仿宋_GB2312" w:hAnsi="黑体" w:eastAsia="仿宋_GB2312" w:cs="黑体"/>
                <w:b/>
                <w:bCs/>
                <w:color w:val="000000"/>
              </w:rPr>
              <w:t>评分等次与分值</w:t>
            </w:r>
          </w:p>
        </w:tc>
        <w:tc>
          <w:tcPr>
            <w:tcW w:w="3681" w:type="dxa"/>
            <w:vAlign w:val="center"/>
          </w:tcPr>
          <w:p w14:paraId="66DD7F16">
            <w:pPr>
              <w:widowControl/>
              <w:spacing w:line="240" w:lineRule="exact"/>
              <w:jc w:val="center"/>
              <w:rPr>
                <w:rFonts w:ascii="仿宋_GB2312" w:hAnsi="黑体" w:eastAsia="仿宋_GB2312" w:cs="黑体"/>
                <w:b/>
                <w:bCs/>
                <w:color w:val="000000"/>
              </w:rPr>
            </w:pPr>
            <w:r>
              <w:rPr>
                <w:rFonts w:hint="eastAsia" w:ascii="仿宋_GB2312" w:hAnsi="黑体" w:eastAsia="仿宋_GB2312" w:cs="黑体"/>
                <w:b/>
                <w:bCs/>
                <w:color w:val="000000"/>
              </w:rPr>
              <w:t>备注</w:t>
            </w:r>
          </w:p>
        </w:tc>
      </w:tr>
      <w:tr w14:paraId="59C140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2" w:hRule="atLeast"/>
          <w:jc w:val="center"/>
        </w:trPr>
        <w:tc>
          <w:tcPr>
            <w:tcW w:w="1060" w:type="dxa"/>
            <w:vMerge w:val="restart"/>
            <w:vAlign w:val="center"/>
          </w:tcPr>
          <w:p w14:paraId="39424815">
            <w:pPr>
              <w:jc w:val="center"/>
              <w:rPr>
                <w:rFonts w:ascii="仿宋_GB2312" w:hAnsi="黑体" w:eastAsia="仿宋_GB2312" w:cs="黑体"/>
                <w:color w:val="000000"/>
              </w:rPr>
            </w:pPr>
            <w:r>
              <w:rPr>
                <w:rFonts w:hint="eastAsia" w:ascii="仿宋_GB2312" w:hAnsi="黑体" w:eastAsia="仿宋_GB2312" w:cs="黑体"/>
                <w:color w:val="000000"/>
              </w:rPr>
              <w:t>基础分（3</w:t>
            </w:r>
            <w:r>
              <w:rPr>
                <w:rFonts w:ascii="仿宋_GB2312" w:hAnsi="黑体" w:eastAsia="仿宋_GB2312" w:cs="黑体"/>
                <w:color w:val="000000"/>
              </w:rPr>
              <w:t>0</w:t>
            </w:r>
            <w:r>
              <w:rPr>
                <w:rFonts w:hint="eastAsia" w:ascii="仿宋_GB2312" w:hAnsi="黑体" w:eastAsia="仿宋_GB2312" w:cs="黑体"/>
                <w:color w:val="000000"/>
              </w:rPr>
              <w:t>分）</w:t>
            </w:r>
          </w:p>
        </w:tc>
        <w:tc>
          <w:tcPr>
            <w:tcW w:w="1033" w:type="dxa"/>
            <w:vAlign w:val="center"/>
          </w:tcPr>
          <w:p w14:paraId="7DD95479">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自动统计（</w:t>
            </w:r>
            <w:r>
              <w:rPr>
                <w:rFonts w:ascii="仿宋_GB2312" w:hAnsi="黑体" w:eastAsia="仿宋_GB2312" w:cs="黑体"/>
                <w:color w:val="000000"/>
                <w:sz w:val="18"/>
                <w:szCs w:val="18"/>
              </w:rPr>
              <w:t>15</w:t>
            </w:r>
            <w:r>
              <w:rPr>
                <w:rFonts w:hint="eastAsia" w:ascii="仿宋_GB2312" w:hAnsi="黑体" w:eastAsia="仿宋_GB2312" w:cs="黑体"/>
                <w:color w:val="000000"/>
                <w:sz w:val="18"/>
                <w:szCs w:val="18"/>
              </w:rPr>
              <w:t>分）</w:t>
            </w:r>
          </w:p>
        </w:tc>
        <w:tc>
          <w:tcPr>
            <w:tcW w:w="1096" w:type="dxa"/>
            <w:vAlign w:val="center"/>
          </w:tcPr>
          <w:p w14:paraId="6AD411D2">
            <w:pPr>
              <w:widowControl/>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实地服务</w:t>
            </w:r>
          </w:p>
        </w:tc>
        <w:tc>
          <w:tcPr>
            <w:tcW w:w="2826" w:type="dxa"/>
            <w:vAlign w:val="center"/>
          </w:tcPr>
          <w:p w14:paraId="29A3F53E">
            <w:pPr>
              <w:widowControl/>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开展服务时通过科特派移动服务工作站记录工作日志、服务位置等信息</w:t>
            </w:r>
          </w:p>
        </w:tc>
        <w:tc>
          <w:tcPr>
            <w:tcW w:w="4729" w:type="dxa"/>
            <w:gridSpan w:val="5"/>
            <w:vAlign w:val="center"/>
          </w:tcPr>
          <w:p w14:paraId="49451B8D">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省内科技特派员开展现场实地服务</w:t>
            </w:r>
            <w:r>
              <w:rPr>
                <w:rFonts w:ascii="仿宋_GB2312" w:hAnsi="黑体" w:eastAsia="仿宋_GB2312" w:cs="黑体"/>
                <w:color w:val="000000"/>
                <w:sz w:val="18"/>
                <w:szCs w:val="18"/>
              </w:rPr>
              <w:t>1</w:t>
            </w:r>
            <w:r>
              <w:rPr>
                <w:rFonts w:hint="eastAsia" w:ascii="仿宋_GB2312" w:hAnsi="黑体" w:eastAsia="仿宋_GB2312" w:cs="黑体"/>
                <w:color w:val="000000"/>
                <w:sz w:val="18"/>
                <w:szCs w:val="18"/>
              </w:rPr>
              <w:t>天积</w:t>
            </w:r>
            <w:r>
              <w:rPr>
                <w:rFonts w:ascii="仿宋_GB2312" w:hAnsi="黑体" w:eastAsia="仿宋_GB2312" w:cs="黑体"/>
                <w:color w:val="000000"/>
                <w:sz w:val="18"/>
                <w:szCs w:val="18"/>
              </w:rPr>
              <w:t>0.75</w:t>
            </w:r>
            <w:r>
              <w:rPr>
                <w:rFonts w:hint="eastAsia" w:ascii="仿宋_GB2312" w:hAnsi="黑体" w:eastAsia="仿宋_GB2312" w:cs="黑体"/>
                <w:color w:val="000000"/>
                <w:sz w:val="18"/>
                <w:szCs w:val="18"/>
              </w:rPr>
              <w:t>分，满分</w:t>
            </w:r>
            <w:r>
              <w:rPr>
                <w:rFonts w:ascii="仿宋_GB2312" w:hAnsi="黑体" w:eastAsia="仿宋_GB2312" w:cs="黑体"/>
                <w:color w:val="000000"/>
                <w:sz w:val="18"/>
                <w:szCs w:val="18"/>
              </w:rPr>
              <w:t>15</w:t>
            </w:r>
            <w:r>
              <w:rPr>
                <w:rFonts w:hint="eastAsia" w:ascii="仿宋_GB2312" w:hAnsi="黑体" w:eastAsia="仿宋_GB2312" w:cs="黑体"/>
                <w:color w:val="000000"/>
                <w:sz w:val="18"/>
                <w:szCs w:val="18"/>
              </w:rPr>
              <w:t>分；省外科技特派员（包含服务省外及港澳台外籍科特派）开展现场实地服务</w:t>
            </w:r>
            <w:r>
              <w:rPr>
                <w:rFonts w:ascii="仿宋_GB2312" w:hAnsi="黑体" w:eastAsia="仿宋_GB2312" w:cs="黑体"/>
                <w:color w:val="000000"/>
                <w:sz w:val="18"/>
                <w:szCs w:val="18"/>
              </w:rPr>
              <w:t>1天积1.5</w:t>
            </w:r>
            <w:r>
              <w:rPr>
                <w:rFonts w:hint="eastAsia" w:ascii="仿宋_GB2312" w:hAnsi="黑体" w:eastAsia="仿宋_GB2312" w:cs="黑体"/>
                <w:color w:val="000000"/>
                <w:sz w:val="18"/>
                <w:szCs w:val="18"/>
              </w:rPr>
              <w:t>分，满分</w:t>
            </w:r>
            <w:r>
              <w:rPr>
                <w:rFonts w:ascii="仿宋_GB2312" w:hAnsi="黑体" w:eastAsia="仿宋_GB2312" w:cs="黑体"/>
                <w:color w:val="000000"/>
                <w:sz w:val="18"/>
                <w:szCs w:val="18"/>
              </w:rPr>
              <w:t>15</w:t>
            </w:r>
            <w:r>
              <w:rPr>
                <w:rFonts w:hint="eastAsia" w:ascii="仿宋_GB2312" w:hAnsi="黑体" w:eastAsia="仿宋_GB2312" w:cs="黑体"/>
                <w:color w:val="000000"/>
                <w:sz w:val="18"/>
                <w:szCs w:val="18"/>
              </w:rPr>
              <w:t>分。</w:t>
            </w:r>
          </w:p>
        </w:tc>
        <w:tc>
          <w:tcPr>
            <w:tcW w:w="3681" w:type="dxa"/>
            <w:vAlign w:val="center"/>
          </w:tcPr>
          <w:p w14:paraId="216A1D4F">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考核时间范围为：选认结果公告之日起至2027年11月30日</w:t>
            </w:r>
          </w:p>
        </w:tc>
      </w:tr>
      <w:tr w14:paraId="51793B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8" w:hRule="atLeast"/>
          <w:jc w:val="center"/>
        </w:trPr>
        <w:tc>
          <w:tcPr>
            <w:tcW w:w="1060" w:type="dxa"/>
            <w:vMerge w:val="continue"/>
          </w:tcPr>
          <w:p w14:paraId="2C09DC73">
            <w:pPr>
              <w:jc w:val="left"/>
              <w:rPr>
                <w:rFonts w:ascii="仿宋_GB2312" w:hAnsi="黑体" w:eastAsia="仿宋_GB2312" w:cs="黑体"/>
                <w:color w:val="000000"/>
              </w:rPr>
            </w:pPr>
          </w:p>
        </w:tc>
        <w:tc>
          <w:tcPr>
            <w:tcW w:w="1033" w:type="dxa"/>
            <w:vAlign w:val="center"/>
          </w:tcPr>
          <w:p w14:paraId="3118B8F8">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自动统计（</w:t>
            </w:r>
            <w:r>
              <w:rPr>
                <w:rFonts w:ascii="仿宋_GB2312" w:hAnsi="黑体" w:eastAsia="仿宋_GB2312" w:cs="黑体"/>
                <w:color w:val="000000"/>
                <w:sz w:val="18"/>
                <w:szCs w:val="18"/>
              </w:rPr>
              <w:t>5</w:t>
            </w:r>
            <w:r>
              <w:rPr>
                <w:rFonts w:hint="eastAsia" w:ascii="仿宋_GB2312" w:hAnsi="黑体" w:eastAsia="仿宋_GB2312" w:cs="黑体"/>
                <w:color w:val="000000"/>
                <w:sz w:val="18"/>
                <w:szCs w:val="18"/>
              </w:rPr>
              <w:t>分）</w:t>
            </w:r>
          </w:p>
        </w:tc>
        <w:tc>
          <w:tcPr>
            <w:tcW w:w="1096" w:type="dxa"/>
            <w:vAlign w:val="center"/>
          </w:tcPr>
          <w:p w14:paraId="065F3345">
            <w:pPr>
              <w:widowControl/>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在线服务</w:t>
            </w:r>
          </w:p>
        </w:tc>
        <w:tc>
          <w:tcPr>
            <w:tcW w:w="2826" w:type="dxa"/>
            <w:vAlign w:val="center"/>
          </w:tcPr>
          <w:p w14:paraId="37A7BE39">
            <w:pPr>
              <w:widowControl/>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在线时长</w:t>
            </w:r>
          </w:p>
        </w:tc>
        <w:tc>
          <w:tcPr>
            <w:tcW w:w="4729" w:type="dxa"/>
            <w:gridSpan w:val="5"/>
          </w:tcPr>
          <w:p w14:paraId="36B5A17B">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大于等于</w:t>
            </w:r>
            <w:r>
              <w:rPr>
                <w:rFonts w:ascii="仿宋_GB2312" w:hAnsi="黑体" w:eastAsia="仿宋_GB2312" w:cs="黑体"/>
                <w:color w:val="000000"/>
                <w:sz w:val="18"/>
                <w:szCs w:val="18"/>
              </w:rPr>
              <w:t>100</w:t>
            </w:r>
            <w:r>
              <w:rPr>
                <w:rFonts w:hint="eastAsia" w:ascii="仿宋_GB2312" w:hAnsi="黑体" w:eastAsia="仿宋_GB2312" w:cs="黑体"/>
                <w:color w:val="000000"/>
                <w:sz w:val="18"/>
                <w:szCs w:val="18"/>
              </w:rPr>
              <w:t>小时得</w:t>
            </w:r>
            <w:r>
              <w:rPr>
                <w:rFonts w:ascii="仿宋_GB2312" w:hAnsi="黑体" w:eastAsia="仿宋_GB2312" w:cs="黑体"/>
                <w:color w:val="000000"/>
                <w:sz w:val="18"/>
                <w:szCs w:val="18"/>
              </w:rPr>
              <w:t>5</w:t>
            </w:r>
            <w:r>
              <w:rPr>
                <w:rFonts w:hint="eastAsia" w:ascii="仿宋_GB2312" w:hAnsi="黑体" w:eastAsia="仿宋_GB2312" w:cs="黑体"/>
                <w:color w:val="000000"/>
                <w:sz w:val="18"/>
                <w:szCs w:val="18"/>
              </w:rPr>
              <w:t>分；大于等于</w:t>
            </w:r>
            <w:r>
              <w:rPr>
                <w:rFonts w:ascii="仿宋_GB2312" w:hAnsi="黑体" w:eastAsia="仿宋_GB2312" w:cs="黑体"/>
                <w:color w:val="000000"/>
                <w:sz w:val="18"/>
                <w:szCs w:val="18"/>
              </w:rPr>
              <w:t>50</w:t>
            </w:r>
            <w:r>
              <w:rPr>
                <w:rFonts w:hint="eastAsia" w:ascii="仿宋_GB2312" w:hAnsi="黑体" w:eastAsia="仿宋_GB2312" w:cs="黑体"/>
                <w:color w:val="000000"/>
                <w:sz w:val="18"/>
                <w:szCs w:val="18"/>
              </w:rPr>
              <w:t>小时得</w:t>
            </w:r>
            <w:r>
              <w:rPr>
                <w:rFonts w:ascii="仿宋_GB2312" w:hAnsi="黑体" w:eastAsia="仿宋_GB2312" w:cs="黑体"/>
                <w:color w:val="000000"/>
                <w:sz w:val="18"/>
                <w:szCs w:val="18"/>
              </w:rPr>
              <w:t>3</w:t>
            </w:r>
            <w:r>
              <w:rPr>
                <w:rFonts w:hint="eastAsia" w:ascii="仿宋_GB2312" w:hAnsi="黑体" w:eastAsia="仿宋_GB2312" w:cs="黑体"/>
                <w:color w:val="000000"/>
                <w:sz w:val="18"/>
                <w:szCs w:val="18"/>
              </w:rPr>
              <w:t>分；</w:t>
            </w:r>
          </w:p>
          <w:p w14:paraId="45108864">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大于等于</w:t>
            </w:r>
            <w:r>
              <w:rPr>
                <w:rFonts w:ascii="仿宋_GB2312" w:hAnsi="黑体" w:eastAsia="仿宋_GB2312" w:cs="黑体"/>
                <w:color w:val="000000"/>
                <w:sz w:val="18"/>
                <w:szCs w:val="18"/>
              </w:rPr>
              <w:t>10</w:t>
            </w:r>
            <w:r>
              <w:rPr>
                <w:rFonts w:hint="eastAsia" w:ascii="仿宋_GB2312" w:hAnsi="黑体" w:eastAsia="仿宋_GB2312" w:cs="黑体"/>
                <w:color w:val="000000"/>
                <w:sz w:val="18"/>
                <w:szCs w:val="18"/>
              </w:rPr>
              <w:t>小时得</w:t>
            </w:r>
            <w:r>
              <w:rPr>
                <w:rFonts w:ascii="仿宋_GB2312" w:hAnsi="黑体" w:eastAsia="仿宋_GB2312" w:cs="黑体"/>
                <w:color w:val="000000"/>
                <w:sz w:val="18"/>
                <w:szCs w:val="18"/>
              </w:rPr>
              <w:t>1</w:t>
            </w:r>
            <w:r>
              <w:rPr>
                <w:rFonts w:hint="eastAsia" w:ascii="仿宋_GB2312" w:hAnsi="黑体" w:eastAsia="仿宋_GB2312" w:cs="黑体"/>
                <w:color w:val="000000"/>
                <w:sz w:val="18"/>
                <w:szCs w:val="18"/>
              </w:rPr>
              <w:t>分</w:t>
            </w:r>
          </w:p>
        </w:tc>
        <w:tc>
          <w:tcPr>
            <w:tcW w:w="3681" w:type="dxa"/>
            <w:vAlign w:val="center"/>
          </w:tcPr>
          <w:p w14:paraId="0C3E2ADB">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考核时间范围为：选认结果公告之日起至2027年11月30日</w:t>
            </w:r>
          </w:p>
        </w:tc>
      </w:tr>
      <w:tr w14:paraId="26839B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2" w:hRule="atLeast"/>
          <w:jc w:val="center"/>
        </w:trPr>
        <w:tc>
          <w:tcPr>
            <w:tcW w:w="1060" w:type="dxa"/>
            <w:vMerge w:val="continue"/>
          </w:tcPr>
          <w:p w14:paraId="174BB021">
            <w:pPr>
              <w:jc w:val="left"/>
              <w:rPr>
                <w:rFonts w:ascii="仿宋_GB2312" w:hAnsi="黑体" w:eastAsia="仿宋_GB2312" w:cs="黑体"/>
                <w:color w:val="000000"/>
              </w:rPr>
            </w:pPr>
          </w:p>
        </w:tc>
        <w:tc>
          <w:tcPr>
            <w:tcW w:w="1033" w:type="dxa"/>
            <w:vAlign w:val="center"/>
          </w:tcPr>
          <w:p w14:paraId="1D94BBBB">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自动统计（</w:t>
            </w:r>
            <w:r>
              <w:rPr>
                <w:rFonts w:ascii="仿宋_GB2312" w:hAnsi="黑体" w:eastAsia="仿宋_GB2312" w:cs="黑体"/>
                <w:color w:val="000000"/>
                <w:sz w:val="18"/>
                <w:szCs w:val="18"/>
              </w:rPr>
              <w:t>10分）</w:t>
            </w:r>
          </w:p>
        </w:tc>
        <w:tc>
          <w:tcPr>
            <w:tcW w:w="1096" w:type="dxa"/>
            <w:vAlign w:val="center"/>
          </w:tcPr>
          <w:p w14:paraId="058596ED">
            <w:pPr>
              <w:widowControl/>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工作报告</w:t>
            </w:r>
          </w:p>
        </w:tc>
        <w:tc>
          <w:tcPr>
            <w:tcW w:w="2826" w:type="dxa"/>
            <w:vAlign w:val="center"/>
          </w:tcPr>
          <w:p w14:paraId="0CD37422">
            <w:pPr>
              <w:widowControl/>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工作报告通过省市县科技部门审核</w:t>
            </w:r>
          </w:p>
        </w:tc>
        <w:tc>
          <w:tcPr>
            <w:tcW w:w="4729" w:type="dxa"/>
            <w:gridSpan w:val="5"/>
            <w:vAlign w:val="center"/>
          </w:tcPr>
          <w:p w14:paraId="13535911">
            <w:pPr>
              <w:widowControl/>
              <w:jc w:val="center"/>
              <w:rPr>
                <w:rFonts w:ascii="仿宋_GB2312" w:hAnsi="黑体" w:eastAsia="仿宋_GB2312" w:cs="黑体"/>
                <w:color w:val="000000"/>
              </w:rPr>
            </w:pPr>
            <w:r>
              <w:rPr>
                <w:rFonts w:hint="eastAsia" w:ascii="仿宋_GB2312" w:hAnsi="黑体" w:eastAsia="仿宋_GB2312" w:cs="黑体"/>
                <w:color w:val="000000"/>
                <w:sz w:val="18"/>
                <w:szCs w:val="18"/>
              </w:rPr>
              <w:t>按时提交并通过县(市、区)科技主管部门审核，满分</w:t>
            </w:r>
            <w:r>
              <w:rPr>
                <w:rFonts w:ascii="仿宋_GB2312" w:hAnsi="黑体" w:eastAsia="仿宋_GB2312" w:cs="黑体"/>
                <w:color w:val="000000"/>
                <w:sz w:val="18"/>
                <w:szCs w:val="18"/>
              </w:rPr>
              <w:t>10分</w:t>
            </w:r>
          </w:p>
        </w:tc>
        <w:tc>
          <w:tcPr>
            <w:tcW w:w="3681" w:type="dxa"/>
            <w:vAlign w:val="center"/>
          </w:tcPr>
          <w:p w14:paraId="143BFAC4">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科技特派员</w:t>
            </w:r>
            <w:r>
              <w:rPr>
                <w:rFonts w:ascii="仿宋_GB2312" w:hAnsi="黑体" w:eastAsia="仿宋_GB2312" w:cs="黑体"/>
                <w:color w:val="000000"/>
                <w:sz w:val="18"/>
                <w:szCs w:val="18"/>
              </w:rPr>
              <w:t>202</w:t>
            </w:r>
            <w:r>
              <w:rPr>
                <w:rFonts w:hint="eastAsia" w:ascii="仿宋_GB2312" w:hAnsi="黑体" w:eastAsia="仿宋_GB2312" w:cs="黑体"/>
                <w:color w:val="000000"/>
                <w:sz w:val="18"/>
                <w:szCs w:val="18"/>
              </w:rPr>
              <w:t>7年</w:t>
            </w:r>
            <w:r>
              <w:rPr>
                <w:rFonts w:ascii="仿宋_GB2312" w:hAnsi="黑体" w:eastAsia="仿宋_GB2312" w:cs="黑体"/>
                <w:color w:val="000000"/>
                <w:sz w:val="18"/>
                <w:szCs w:val="18"/>
              </w:rPr>
              <w:t>1</w:t>
            </w:r>
            <w:r>
              <w:rPr>
                <w:rFonts w:hint="eastAsia" w:ascii="仿宋_GB2312" w:hAnsi="黑体" w:eastAsia="仿宋_GB2312" w:cs="黑体"/>
                <w:color w:val="000000"/>
                <w:sz w:val="18"/>
                <w:szCs w:val="18"/>
              </w:rPr>
              <w:t>1月</w:t>
            </w:r>
            <w:r>
              <w:rPr>
                <w:rFonts w:ascii="仿宋_GB2312" w:hAnsi="黑体" w:eastAsia="仿宋_GB2312" w:cs="黑体"/>
                <w:color w:val="000000"/>
                <w:sz w:val="18"/>
                <w:szCs w:val="18"/>
              </w:rPr>
              <w:t>3</w:t>
            </w:r>
            <w:r>
              <w:rPr>
                <w:rFonts w:hint="eastAsia" w:ascii="仿宋_GB2312" w:hAnsi="黑体" w:eastAsia="仿宋_GB2312" w:cs="黑体"/>
                <w:color w:val="000000"/>
                <w:sz w:val="18"/>
                <w:szCs w:val="18"/>
              </w:rPr>
              <w:t>0</w:t>
            </w:r>
            <w:r>
              <w:rPr>
                <w:rFonts w:ascii="仿宋_GB2312" w:hAnsi="黑体" w:eastAsia="仿宋_GB2312" w:cs="黑体"/>
                <w:color w:val="000000"/>
                <w:sz w:val="18"/>
                <w:szCs w:val="18"/>
              </w:rPr>
              <w:t>日前提交；县（市、区）科技主管部门202</w:t>
            </w:r>
            <w:r>
              <w:rPr>
                <w:rFonts w:hint="eastAsia" w:ascii="仿宋_GB2312" w:hAnsi="黑体" w:eastAsia="仿宋_GB2312" w:cs="黑体"/>
                <w:color w:val="000000"/>
                <w:sz w:val="18"/>
                <w:szCs w:val="18"/>
              </w:rPr>
              <w:t>7</w:t>
            </w:r>
            <w:r>
              <w:rPr>
                <w:rFonts w:ascii="仿宋_GB2312" w:hAnsi="黑体" w:eastAsia="仿宋_GB2312" w:cs="黑体"/>
                <w:color w:val="000000"/>
                <w:sz w:val="18"/>
                <w:szCs w:val="18"/>
              </w:rPr>
              <w:t>年1</w:t>
            </w:r>
            <w:r>
              <w:rPr>
                <w:rFonts w:hint="eastAsia" w:ascii="仿宋_GB2312" w:hAnsi="黑体" w:eastAsia="仿宋_GB2312" w:cs="黑体"/>
                <w:color w:val="000000"/>
                <w:sz w:val="18"/>
                <w:szCs w:val="18"/>
              </w:rPr>
              <w:t>2月15日前审核。</w:t>
            </w:r>
          </w:p>
        </w:tc>
      </w:tr>
      <w:tr w14:paraId="3FA4CA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60" w:type="dxa"/>
            <w:vMerge w:val="restart"/>
            <w:vAlign w:val="center"/>
          </w:tcPr>
          <w:p w14:paraId="62E4B76B">
            <w:pPr>
              <w:widowControl/>
              <w:jc w:val="center"/>
              <w:rPr>
                <w:rFonts w:ascii="仿宋_GB2312" w:hAnsi="黑体" w:eastAsia="仿宋_GB2312" w:cs="黑体"/>
                <w:color w:val="000000"/>
              </w:rPr>
            </w:pPr>
            <w:r>
              <w:rPr>
                <w:rFonts w:hint="eastAsia" w:ascii="仿宋_GB2312" w:hAnsi="黑体" w:eastAsia="仿宋_GB2312" w:cs="黑体"/>
                <w:color w:val="000000"/>
              </w:rPr>
              <w:t>业务分（7</w:t>
            </w:r>
            <w:r>
              <w:rPr>
                <w:rFonts w:ascii="仿宋_GB2312" w:hAnsi="黑体" w:eastAsia="仿宋_GB2312" w:cs="黑体"/>
                <w:color w:val="000000"/>
              </w:rPr>
              <w:t>0</w:t>
            </w:r>
            <w:r>
              <w:rPr>
                <w:rFonts w:hint="eastAsia" w:ascii="仿宋_GB2312" w:hAnsi="黑体" w:eastAsia="仿宋_GB2312" w:cs="黑体"/>
                <w:color w:val="000000"/>
              </w:rPr>
              <w:t>分）</w:t>
            </w:r>
          </w:p>
        </w:tc>
        <w:tc>
          <w:tcPr>
            <w:tcW w:w="1033" w:type="dxa"/>
            <w:vAlign w:val="center"/>
          </w:tcPr>
          <w:p w14:paraId="134315BE">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服务对象打分</w:t>
            </w:r>
          </w:p>
          <w:p w14:paraId="0C84C7F5">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w:t>
            </w:r>
            <w:r>
              <w:rPr>
                <w:rFonts w:ascii="仿宋_GB2312" w:hAnsi="黑体" w:eastAsia="仿宋_GB2312" w:cs="黑体"/>
                <w:color w:val="000000"/>
                <w:sz w:val="18"/>
                <w:szCs w:val="18"/>
              </w:rPr>
              <w:t>30分）</w:t>
            </w:r>
          </w:p>
        </w:tc>
        <w:tc>
          <w:tcPr>
            <w:tcW w:w="1096" w:type="dxa"/>
            <w:vAlign w:val="center"/>
          </w:tcPr>
          <w:p w14:paraId="4039F587">
            <w:pPr>
              <w:widowControl/>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服务评价</w:t>
            </w:r>
          </w:p>
        </w:tc>
        <w:tc>
          <w:tcPr>
            <w:tcW w:w="2826" w:type="dxa"/>
            <w:vAlign w:val="center"/>
          </w:tcPr>
          <w:p w14:paraId="62D8811B">
            <w:pPr>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服务对象从科技特派员服务态度、解决问题、技术提升、经济效益、社会效益等几方面进行评价</w:t>
            </w:r>
          </w:p>
        </w:tc>
        <w:tc>
          <w:tcPr>
            <w:tcW w:w="886" w:type="dxa"/>
            <w:vAlign w:val="center"/>
          </w:tcPr>
          <w:p w14:paraId="46125D39">
            <w:pPr>
              <w:widowControl/>
              <w:jc w:val="center"/>
              <w:rPr>
                <w:rFonts w:ascii="仿宋_GB2312" w:hAnsi="宋体" w:eastAsia="仿宋_GB2312"/>
                <w:sz w:val="18"/>
                <w:szCs w:val="18"/>
              </w:rPr>
            </w:pPr>
            <w:r>
              <w:rPr>
                <w:rFonts w:hint="eastAsia" w:ascii="仿宋_GB2312" w:hAnsi="宋体" w:eastAsia="仿宋_GB2312"/>
                <w:sz w:val="18"/>
                <w:szCs w:val="18"/>
              </w:rPr>
              <w:t>①优</w:t>
            </w:r>
            <w:r>
              <w:rPr>
                <w:rFonts w:ascii="仿宋_GB2312" w:hAnsi="宋体" w:eastAsia="仿宋_GB2312"/>
                <w:sz w:val="18"/>
                <w:szCs w:val="18"/>
              </w:rPr>
              <w:t>27-30分</w:t>
            </w:r>
          </w:p>
        </w:tc>
        <w:tc>
          <w:tcPr>
            <w:tcW w:w="958" w:type="dxa"/>
            <w:vAlign w:val="center"/>
          </w:tcPr>
          <w:p w14:paraId="4E109A0F">
            <w:pPr>
              <w:widowControl/>
              <w:jc w:val="center"/>
              <w:rPr>
                <w:rFonts w:ascii="仿宋_GB2312" w:hAnsi="黑体" w:eastAsia="仿宋_GB2312" w:cs="黑体"/>
                <w:color w:val="000000"/>
                <w:sz w:val="18"/>
                <w:szCs w:val="18"/>
              </w:rPr>
            </w:pPr>
            <w:r>
              <w:rPr>
                <w:rFonts w:hint="eastAsia" w:ascii="仿宋_GB2312" w:hAnsi="宋体" w:eastAsia="仿宋_GB2312"/>
                <w:sz w:val="18"/>
                <w:szCs w:val="18"/>
              </w:rPr>
              <w:t>②良</w:t>
            </w:r>
            <w:r>
              <w:rPr>
                <w:rFonts w:ascii="仿宋_GB2312" w:hAnsi="宋体" w:eastAsia="仿宋_GB2312"/>
                <w:sz w:val="18"/>
                <w:szCs w:val="18"/>
              </w:rPr>
              <w:t>24-26分</w:t>
            </w:r>
          </w:p>
        </w:tc>
        <w:tc>
          <w:tcPr>
            <w:tcW w:w="933" w:type="dxa"/>
            <w:vAlign w:val="center"/>
          </w:tcPr>
          <w:p w14:paraId="09E96383">
            <w:pPr>
              <w:widowControl/>
              <w:jc w:val="center"/>
              <w:rPr>
                <w:rFonts w:ascii="仿宋_GB2312" w:hAnsi="宋体" w:eastAsia="仿宋_GB2312"/>
                <w:sz w:val="18"/>
                <w:szCs w:val="18"/>
              </w:rPr>
            </w:pPr>
            <w:r>
              <w:rPr>
                <w:rFonts w:hint="eastAsia" w:ascii="仿宋_GB2312" w:hAnsi="宋体" w:eastAsia="仿宋_GB2312"/>
                <w:sz w:val="18"/>
                <w:szCs w:val="18"/>
              </w:rPr>
              <w:t>③中</w:t>
            </w:r>
          </w:p>
          <w:p w14:paraId="1C0F2422">
            <w:pPr>
              <w:widowControl/>
              <w:jc w:val="center"/>
              <w:rPr>
                <w:rFonts w:ascii="仿宋_GB2312" w:hAnsi="黑体" w:eastAsia="仿宋_GB2312" w:cs="黑体"/>
                <w:color w:val="000000"/>
                <w:sz w:val="18"/>
                <w:szCs w:val="18"/>
              </w:rPr>
            </w:pPr>
            <w:r>
              <w:rPr>
                <w:rFonts w:ascii="仿宋_GB2312" w:hAnsi="宋体" w:eastAsia="仿宋_GB2312"/>
                <w:sz w:val="18"/>
                <w:szCs w:val="18"/>
              </w:rPr>
              <w:t>21-23分</w:t>
            </w:r>
          </w:p>
        </w:tc>
        <w:tc>
          <w:tcPr>
            <w:tcW w:w="884" w:type="dxa"/>
            <w:vAlign w:val="center"/>
          </w:tcPr>
          <w:p w14:paraId="5CE71CE3">
            <w:pPr>
              <w:widowControl/>
              <w:jc w:val="center"/>
              <w:rPr>
                <w:rFonts w:ascii="仿宋_GB2312" w:hAnsi="黑体" w:eastAsia="仿宋_GB2312" w:cs="黑体"/>
                <w:color w:val="000000"/>
                <w:sz w:val="18"/>
                <w:szCs w:val="18"/>
              </w:rPr>
            </w:pPr>
            <w:r>
              <w:rPr>
                <w:rFonts w:hint="eastAsia" w:ascii="仿宋_GB2312" w:hAnsi="宋体" w:eastAsia="仿宋_GB2312"/>
                <w:sz w:val="18"/>
                <w:szCs w:val="18"/>
              </w:rPr>
              <w:t>④合格</w:t>
            </w:r>
            <w:r>
              <w:rPr>
                <w:rFonts w:ascii="仿宋_GB2312" w:hAnsi="宋体" w:eastAsia="仿宋_GB2312"/>
                <w:sz w:val="18"/>
                <w:szCs w:val="18"/>
              </w:rPr>
              <w:t>18-20分</w:t>
            </w:r>
          </w:p>
        </w:tc>
        <w:tc>
          <w:tcPr>
            <w:tcW w:w="1068" w:type="dxa"/>
            <w:vAlign w:val="center"/>
          </w:tcPr>
          <w:p w14:paraId="0232387E">
            <w:pPr>
              <w:widowControl/>
              <w:jc w:val="center"/>
              <w:rPr>
                <w:rFonts w:ascii="仿宋_GB2312" w:hAnsi="宋体" w:eastAsia="仿宋_GB2312"/>
                <w:sz w:val="18"/>
                <w:szCs w:val="18"/>
              </w:rPr>
            </w:pPr>
            <w:r>
              <w:rPr>
                <w:rFonts w:hint="eastAsia" w:ascii="仿宋_GB2312" w:hAnsi="宋体" w:eastAsia="仿宋_GB2312"/>
                <w:sz w:val="18"/>
                <w:szCs w:val="18"/>
              </w:rPr>
              <w:t>⑤不合格</w:t>
            </w:r>
          </w:p>
          <w:p w14:paraId="241ABBCA">
            <w:pPr>
              <w:widowControl/>
              <w:jc w:val="center"/>
              <w:rPr>
                <w:rFonts w:ascii="仿宋_GB2312" w:hAnsi="黑体" w:eastAsia="仿宋_GB2312" w:cs="黑体"/>
                <w:color w:val="000000"/>
                <w:sz w:val="18"/>
                <w:szCs w:val="18"/>
              </w:rPr>
            </w:pPr>
            <w:r>
              <w:rPr>
                <w:rFonts w:hint="eastAsia" w:ascii="仿宋_GB2312" w:hAnsi="宋体" w:eastAsia="仿宋_GB2312"/>
                <w:sz w:val="18"/>
                <w:szCs w:val="18"/>
              </w:rPr>
              <w:t>小于18分</w:t>
            </w:r>
          </w:p>
        </w:tc>
        <w:tc>
          <w:tcPr>
            <w:tcW w:w="3681" w:type="dxa"/>
          </w:tcPr>
          <w:p w14:paraId="16CAE39B">
            <w:pPr>
              <w:rPr>
                <w:rFonts w:ascii="仿宋_GB2312" w:hAnsi="黑体" w:eastAsia="仿宋_GB2312" w:cs="黑体"/>
                <w:color w:val="000000"/>
                <w:sz w:val="18"/>
                <w:szCs w:val="18"/>
              </w:rPr>
            </w:pPr>
            <w:r>
              <w:rPr>
                <w:rFonts w:hint="eastAsia" w:ascii="仿宋_GB2312" w:hAnsi="黑体" w:eastAsia="仿宋_GB2312" w:cs="黑体"/>
                <w:color w:val="000000"/>
                <w:sz w:val="18"/>
                <w:szCs w:val="18"/>
              </w:rPr>
              <w:t>具体评分项详见附件3《福建省科技特派员服务成效评价表》（服务对象填写），填写盖章后上传到云平台并进行评分。2027年11月1日-11月30日进行评价。</w:t>
            </w:r>
          </w:p>
        </w:tc>
      </w:tr>
      <w:tr w14:paraId="0A5C72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060" w:type="dxa"/>
            <w:vMerge w:val="continue"/>
          </w:tcPr>
          <w:p w14:paraId="5B12195A">
            <w:pPr>
              <w:widowControl/>
              <w:jc w:val="left"/>
              <w:rPr>
                <w:rFonts w:ascii="仿宋_GB2312" w:hAnsi="黑体" w:eastAsia="仿宋_GB2312" w:cs="黑体"/>
                <w:color w:val="000000"/>
              </w:rPr>
            </w:pPr>
          </w:p>
        </w:tc>
        <w:tc>
          <w:tcPr>
            <w:tcW w:w="1033" w:type="dxa"/>
            <w:vAlign w:val="center"/>
          </w:tcPr>
          <w:p w14:paraId="424EF807">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县（市、区）科技主管部门打分</w:t>
            </w:r>
          </w:p>
          <w:p w14:paraId="37086546">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w:t>
            </w:r>
            <w:r>
              <w:rPr>
                <w:rFonts w:ascii="仿宋_GB2312" w:hAnsi="黑体" w:eastAsia="仿宋_GB2312" w:cs="黑体"/>
                <w:color w:val="000000"/>
                <w:sz w:val="18"/>
                <w:szCs w:val="18"/>
              </w:rPr>
              <w:t>40</w:t>
            </w:r>
            <w:r>
              <w:rPr>
                <w:rFonts w:hint="eastAsia" w:ascii="仿宋_GB2312" w:hAnsi="黑体" w:eastAsia="仿宋_GB2312" w:cs="黑体"/>
                <w:color w:val="000000"/>
                <w:sz w:val="18"/>
                <w:szCs w:val="18"/>
              </w:rPr>
              <w:t>分）</w:t>
            </w:r>
          </w:p>
        </w:tc>
        <w:tc>
          <w:tcPr>
            <w:tcW w:w="1096" w:type="dxa"/>
            <w:vAlign w:val="center"/>
          </w:tcPr>
          <w:p w14:paraId="5A36631C">
            <w:pPr>
              <w:widowControl/>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服务评价</w:t>
            </w:r>
          </w:p>
        </w:tc>
        <w:tc>
          <w:tcPr>
            <w:tcW w:w="2826" w:type="dxa"/>
          </w:tcPr>
          <w:p w14:paraId="04086DB3">
            <w:pPr>
              <w:widowControl/>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县（市、区）科技主管部门从政策科技科普文化宣传、技术引进、成果转化、技术开发、形成新成果、技能培训、人才培养、创新创业、经济社会效益、科技特派员服务态度等几方面进行评价</w:t>
            </w:r>
          </w:p>
        </w:tc>
        <w:tc>
          <w:tcPr>
            <w:tcW w:w="886" w:type="dxa"/>
            <w:vAlign w:val="center"/>
          </w:tcPr>
          <w:p w14:paraId="0AE3DD86">
            <w:pPr>
              <w:widowControl/>
              <w:jc w:val="center"/>
              <w:rPr>
                <w:rFonts w:ascii="仿宋_GB2312" w:hAnsi="黑体" w:eastAsia="仿宋_GB2312" w:cs="黑体"/>
                <w:color w:val="000000"/>
                <w:sz w:val="18"/>
                <w:szCs w:val="18"/>
              </w:rPr>
            </w:pPr>
            <w:r>
              <w:rPr>
                <w:rFonts w:hint="eastAsia" w:ascii="仿宋_GB2312" w:hAnsi="宋体" w:eastAsia="仿宋_GB2312"/>
                <w:sz w:val="18"/>
                <w:szCs w:val="18"/>
              </w:rPr>
              <w:t>①优36</w:t>
            </w:r>
            <w:r>
              <w:rPr>
                <w:rFonts w:ascii="仿宋_GB2312" w:hAnsi="宋体" w:eastAsia="仿宋_GB2312"/>
                <w:sz w:val="18"/>
                <w:szCs w:val="18"/>
              </w:rPr>
              <w:t>-</w:t>
            </w:r>
            <w:r>
              <w:rPr>
                <w:rFonts w:hint="eastAsia" w:ascii="仿宋_GB2312" w:hAnsi="宋体" w:eastAsia="仿宋_GB2312"/>
                <w:sz w:val="18"/>
                <w:szCs w:val="18"/>
              </w:rPr>
              <w:t>40分</w:t>
            </w:r>
          </w:p>
        </w:tc>
        <w:tc>
          <w:tcPr>
            <w:tcW w:w="958" w:type="dxa"/>
            <w:vAlign w:val="center"/>
          </w:tcPr>
          <w:p w14:paraId="24613B98">
            <w:pPr>
              <w:widowControl/>
              <w:jc w:val="center"/>
              <w:rPr>
                <w:rFonts w:ascii="仿宋_GB2312" w:hAnsi="黑体" w:eastAsia="仿宋_GB2312" w:cs="黑体"/>
                <w:color w:val="000000"/>
                <w:sz w:val="18"/>
                <w:szCs w:val="18"/>
              </w:rPr>
            </w:pPr>
            <w:r>
              <w:rPr>
                <w:rFonts w:hint="eastAsia" w:ascii="仿宋_GB2312" w:hAnsi="宋体" w:eastAsia="仿宋_GB2312"/>
                <w:sz w:val="18"/>
                <w:szCs w:val="18"/>
              </w:rPr>
              <w:t>②良</w:t>
            </w:r>
            <w:r>
              <w:rPr>
                <w:rFonts w:ascii="仿宋_GB2312" w:hAnsi="宋体" w:eastAsia="仿宋_GB2312"/>
                <w:sz w:val="18"/>
                <w:szCs w:val="18"/>
              </w:rPr>
              <w:t>3</w:t>
            </w:r>
            <w:r>
              <w:rPr>
                <w:rFonts w:hint="eastAsia" w:ascii="仿宋_GB2312" w:hAnsi="宋体" w:eastAsia="仿宋_GB2312"/>
                <w:sz w:val="18"/>
                <w:szCs w:val="18"/>
              </w:rPr>
              <w:t>2</w:t>
            </w:r>
            <w:r>
              <w:rPr>
                <w:rFonts w:ascii="仿宋_GB2312" w:hAnsi="宋体" w:eastAsia="仿宋_GB2312"/>
                <w:sz w:val="18"/>
                <w:szCs w:val="18"/>
              </w:rPr>
              <w:t>-3</w:t>
            </w:r>
            <w:r>
              <w:rPr>
                <w:rFonts w:hint="eastAsia" w:ascii="仿宋_GB2312" w:hAnsi="宋体" w:eastAsia="仿宋_GB2312"/>
                <w:sz w:val="18"/>
                <w:szCs w:val="18"/>
              </w:rPr>
              <w:t>5分</w:t>
            </w:r>
          </w:p>
        </w:tc>
        <w:tc>
          <w:tcPr>
            <w:tcW w:w="933" w:type="dxa"/>
            <w:vAlign w:val="center"/>
          </w:tcPr>
          <w:p w14:paraId="547E0191">
            <w:pPr>
              <w:widowControl/>
              <w:jc w:val="center"/>
              <w:rPr>
                <w:rFonts w:ascii="仿宋_GB2312" w:hAnsi="黑体" w:eastAsia="仿宋_GB2312" w:cs="黑体"/>
                <w:color w:val="000000"/>
                <w:sz w:val="18"/>
                <w:szCs w:val="18"/>
              </w:rPr>
            </w:pPr>
            <w:r>
              <w:rPr>
                <w:rFonts w:hint="eastAsia" w:ascii="仿宋_GB2312" w:hAnsi="宋体" w:eastAsia="仿宋_GB2312"/>
                <w:sz w:val="18"/>
                <w:szCs w:val="18"/>
              </w:rPr>
              <w:t>③中28</w:t>
            </w:r>
            <w:r>
              <w:rPr>
                <w:rFonts w:ascii="仿宋_GB2312" w:hAnsi="宋体" w:eastAsia="仿宋_GB2312"/>
                <w:sz w:val="18"/>
                <w:szCs w:val="18"/>
              </w:rPr>
              <w:t>-</w:t>
            </w:r>
            <w:r>
              <w:rPr>
                <w:rFonts w:hint="eastAsia" w:ascii="仿宋_GB2312" w:hAnsi="宋体" w:eastAsia="仿宋_GB2312"/>
                <w:sz w:val="18"/>
                <w:szCs w:val="18"/>
              </w:rPr>
              <w:t>31分</w:t>
            </w:r>
          </w:p>
        </w:tc>
        <w:tc>
          <w:tcPr>
            <w:tcW w:w="884" w:type="dxa"/>
            <w:vAlign w:val="center"/>
          </w:tcPr>
          <w:p w14:paraId="2F7B337D">
            <w:pPr>
              <w:widowControl/>
              <w:jc w:val="center"/>
              <w:rPr>
                <w:rFonts w:ascii="仿宋_GB2312" w:hAnsi="黑体" w:eastAsia="仿宋_GB2312" w:cs="黑体"/>
                <w:color w:val="000000"/>
                <w:sz w:val="18"/>
                <w:szCs w:val="18"/>
              </w:rPr>
            </w:pPr>
            <w:r>
              <w:rPr>
                <w:rFonts w:hint="eastAsia" w:ascii="仿宋_GB2312" w:hAnsi="宋体" w:eastAsia="仿宋_GB2312"/>
                <w:sz w:val="18"/>
                <w:szCs w:val="18"/>
              </w:rPr>
              <w:t>④合格</w:t>
            </w:r>
            <w:r>
              <w:rPr>
                <w:rFonts w:ascii="仿宋_GB2312" w:hAnsi="宋体" w:eastAsia="仿宋_GB2312"/>
                <w:sz w:val="18"/>
                <w:szCs w:val="18"/>
              </w:rPr>
              <w:t>2</w:t>
            </w:r>
            <w:r>
              <w:rPr>
                <w:rFonts w:hint="eastAsia" w:ascii="仿宋_GB2312" w:hAnsi="宋体" w:eastAsia="仿宋_GB2312"/>
                <w:sz w:val="18"/>
                <w:szCs w:val="18"/>
              </w:rPr>
              <w:t>4</w:t>
            </w:r>
            <w:r>
              <w:rPr>
                <w:rFonts w:ascii="仿宋_GB2312" w:hAnsi="宋体" w:eastAsia="仿宋_GB2312"/>
                <w:sz w:val="18"/>
                <w:szCs w:val="18"/>
              </w:rPr>
              <w:t>-2</w:t>
            </w:r>
            <w:r>
              <w:rPr>
                <w:rFonts w:hint="eastAsia" w:ascii="仿宋_GB2312" w:hAnsi="宋体" w:eastAsia="仿宋_GB2312"/>
                <w:sz w:val="18"/>
                <w:szCs w:val="18"/>
              </w:rPr>
              <w:t>7分</w:t>
            </w:r>
          </w:p>
        </w:tc>
        <w:tc>
          <w:tcPr>
            <w:tcW w:w="1068" w:type="dxa"/>
            <w:vAlign w:val="center"/>
          </w:tcPr>
          <w:p w14:paraId="29E4E92F">
            <w:pPr>
              <w:widowControl/>
              <w:jc w:val="center"/>
              <w:rPr>
                <w:rFonts w:ascii="仿宋_GB2312" w:hAnsi="宋体" w:eastAsia="仿宋_GB2312"/>
                <w:sz w:val="18"/>
                <w:szCs w:val="18"/>
              </w:rPr>
            </w:pPr>
            <w:r>
              <w:rPr>
                <w:rFonts w:hint="eastAsia" w:ascii="仿宋_GB2312" w:hAnsi="宋体" w:eastAsia="仿宋_GB2312"/>
                <w:sz w:val="18"/>
                <w:szCs w:val="18"/>
              </w:rPr>
              <w:t>⑤不合格</w:t>
            </w:r>
          </w:p>
          <w:p w14:paraId="1BC82E87">
            <w:pPr>
              <w:widowControl/>
              <w:jc w:val="center"/>
              <w:rPr>
                <w:rFonts w:ascii="仿宋_GB2312" w:hAnsi="黑体" w:eastAsia="仿宋_GB2312" w:cs="黑体"/>
                <w:color w:val="000000"/>
                <w:sz w:val="18"/>
                <w:szCs w:val="18"/>
              </w:rPr>
            </w:pPr>
            <w:r>
              <w:rPr>
                <w:rFonts w:hint="eastAsia" w:ascii="仿宋_GB2312" w:hAnsi="宋体" w:eastAsia="仿宋_GB2312"/>
                <w:sz w:val="18"/>
                <w:szCs w:val="18"/>
              </w:rPr>
              <w:t>小于</w:t>
            </w:r>
            <w:r>
              <w:rPr>
                <w:rFonts w:ascii="仿宋_GB2312" w:hAnsi="宋体" w:eastAsia="仿宋_GB2312"/>
                <w:sz w:val="18"/>
                <w:szCs w:val="18"/>
              </w:rPr>
              <w:t>24</w:t>
            </w:r>
            <w:r>
              <w:rPr>
                <w:rFonts w:hint="eastAsia" w:ascii="仿宋_GB2312" w:hAnsi="宋体" w:eastAsia="仿宋_GB2312"/>
                <w:sz w:val="18"/>
                <w:szCs w:val="18"/>
              </w:rPr>
              <w:t>分</w:t>
            </w:r>
          </w:p>
        </w:tc>
        <w:tc>
          <w:tcPr>
            <w:tcW w:w="3681" w:type="dxa"/>
          </w:tcPr>
          <w:p w14:paraId="6F1CBC16">
            <w:pPr>
              <w:rPr>
                <w:rFonts w:ascii="仿宋_GB2312" w:hAnsi="黑体" w:eastAsia="仿宋_GB2312" w:cs="黑体"/>
                <w:color w:val="000000"/>
                <w:sz w:val="18"/>
                <w:szCs w:val="18"/>
              </w:rPr>
            </w:pPr>
            <w:r>
              <w:rPr>
                <w:rFonts w:hint="eastAsia" w:ascii="仿宋_GB2312" w:hAnsi="黑体" w:eastAsia="仿宋_GB2312" w:cs="黑体"/>
                <w:color w:val="000000"/>
                <w:sz w:val="18"/>
                <w:szCs w:val="18"/>
              </w:rPr>
              <w:t>具体评分项详见附件4《福建省科技特派员服务成效评价表》（县级科技主管部门填写），科技主管部门根据评分细项进行评分。2027年11月1日-12月15日进行评价。</w:t>
            </w:r>
          </w:p>
        </w:tc>
      </w:tr>
      <w:tr w14:paraId="77E61C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60" w:type="dxa"/>
            <w:vMerge w:val="restart"/>
          </w:tcPr>
          <w:p w14:paraId="19716E9C">
            <w:pPr>
              <w:widowControl/>
              <w:jc w:val="left"/>
              <w:rPr>
                <w:rFonts w:ascii="仿宋_GB2312" w:hAnsi="黑体" w:eastAsia="仿宋_GB2312" w:cs="黑体"/>
                <w:color w:val="000000"/>
              </w:rPr>
            </w:pPr>
            <w:r>
              <w:rPr>
                <w:rFonts w:hint="eastAsia" w:ascii="仿宋_GB2312" w:hAnsi="黑体" w:eastAsia="仿宋_GB2312" w:cs="黑体"/>
                <w:color w:val="000000"/>
              </w:rPr>
              <w:t>附加分（15分）</w:t>
            </w:r>
          </w:p>
        </w:tc>
        <w:tc>
          <w:tcPr>
            <w:tcW w:w="1033" w:type="dxa"/>
            <w:vAlign w:val="center"/>
          </w:tcPr>
          <w:p w14:paraId="3291D13D">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填报数据</w:t>
            </w:r>
          </w:p>
          <w:p w14:paraId="223148C2">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w:t>
            </w:r>
            <w:r>
              <w:rPr>
                <w:rFonts w:ascii="仿宋_GB2312" w:hAnsi="黑体" w:eastAsia="仿宋_GB2312" w:cs="黑体"/>
                <w:color w:val="000000"/>
                <w:sz w:val="18"/>
                <w:szCs w:val="18"/>
              </w:rPr>
              <w:t>5分）</w:t>
            </w:r>
          </w:p>
        </w:tc>
        <w:tc>
          <w:tcPr>
            <w:tcW w:w="1096" w:type="dxa"/>
            <w:vAlign w:val="center"/>
          </w:tcPr>
          <w:p w14:paraId="1686D3E7">
            <w:pPr>
              <w:widowControl/>
              <w:jc w:val="center"/>
              <w:rPr>
                <w:rFonts w:ascii="仿宋_GB2312" w:hAnsi="黑体" w:eastAsia="仿宋_GB2312" w:cs="黑体"/>
                <w:color w:val="000000"/>
                <w:sz w:val="18"/>
                <w:szCs w:val="18"/>
              </w:rPr>
            </w:pPr>
          </w:p>
        </w:tc>
        <w:tc>
          <w:tcPr>
            <w:tcW w:w="2826" w:type="dxa"/>
            <w:vAlign w:val="center"/>
          </w:tcPr>
          <w:p w14:paraId="17D75391">
            <w:pPr>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与服务对象共同申请国家、省、市级项目（标准）并通过立项</w:t>
            </w:r>
          </w:p>
        </w:tc>
        <w:tc>
          <w:tcPr>
            <w:tcW w:w="886" w:type="dxa"/>
            <w:vAlign w:val="center"/>
          </w:tcPr>
          <w:p w14:paraId="2F322A3D">
            <w:pPr>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国家级</w:t>
            </w:r>
          </w:p>
          <w:p w14:paraId="303FACC7">
            <w:pPr>
              <w:jc w:val="center"/>
              <w:rPr>
                <w:sz w:val="18"/>
                <w:szCs w:val="18"/>
              </w:rPr>
            </w:pPr>
            <w:r>
              <w:rPr>
                <w:rFonts w:hint="eastAsia" w:ascii="仿宋_GB2312" w:hAnsi="黑体" w:eastAsia="仿宋_GB2312" w:cs="黑体"/>
                <w:color w:val="000000"/>
                <w:sz w:val="18"/>
                <w:szCs w:val="18"/>
              </w:rPr>
              <w:t>（</w:t>
            </w:r>
            <w:r>
              <w:rPr>
                <w:rFonts w:ascii="仿宋_GB2312" w:hAnsi="黑体" w:eastAsia="仿宋_GB2312" w:cs="黑体"/>
                <w:color w:val="000000"/>
                <w:sz w:val="18"/>
                <w:szCs w:val="18"/>
              </w:rPr>
              <w:t>5分）</w:t>
            </w:r>
          </w:p>
        </w:tc>
        <w:tc>
          <w:tcPr>
            <w:tcW w:w="958" w:type="dxa"/>
            <w:vAlign w:val="center"/>
          </w:tcPr>
          <w:p w14:paraId="16A738AF">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省级</w:t>
            </w:r>
          </w:p>
          <w:p w14:paraId="4F6DBC7D">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w:t>
            </w:r>
            <w:r>
              <w:rPr>
                <w:rFonts w:ascii="仿宋_GB2312" w:hAnsi="黑体" w:eastAsia="仿宋_GB2312" w:cs="黑体"/>
                <w:color w:val="000000"/>
                <w:sz w:val="18"/>
                <w:szCs w:val="18"/>
              </w:rPr>
              <w:t>3分）</w:t>
            </w:r>
          </w:p>
        </w:tc>
        <w:tc>
          <w:tcPr>
            <w:tcW w:w="933" w:type="dxa"/>
            <w:vAlign w:val="center"/>
          </w:tcPr>
          <w:p w14:paraId="24D71C26">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市级</w:t>
            </w:r>
          </w:p>
          <w:p w14:paraId="1B287B61">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w:t>
            </w:r>
            <w:r>
              <w:rPr>
                <w:rFonts w:ascii="仿宋_GB2312" w:hAnsi="黑体" w:eastAsia="仿宋_GB2312" w:cs="黑体"/>
                <w:color w:val="000000"/>
                <w:sz w:val="18"/>
                <w:szCs w:val="18"/>
              </w:rPr>
              <w:t>1分）</w:t>
            </w:r>
          </w:p>
        </w:tc>
        <w:tc>
          <w:tcPr>
            <w:tcW w:w="884" w:type="dxa"/>
            <w:vAlign w:val="center"/>
          </w:tcPr>
          <w:p w14:paraId="7DD8DC8B">
            <w:pPr>
              <w:widowControl/>
              <w:jc w:val="center"/>
              <w:rPr>
                <w:rFonts w:ascii="仿宋_GB2312" w:hAnsi="黑体" w:eastAsia="仿宋_GB2312" w:cs="黑体"/>
                <w:color w:val="000000"/>
              </w:rPr>
            </w:pPr>
          </w:p>
        </w:tc>
        <w:tc>
          <w:tcPr>
            <w:tcW w:w="1068" w:type="dxa"/>
            <w:vAlign w:val="center"/>
          </w:tcPr>
          <w:p w14:paraId="784095A0">
            <w:pPr>
              <w:widowControl/>
              <w:jc w:val="center"/>
              <w:rPr>
                <w:rFonts w:ascii="仿宋_GB2312" w:hAnsi="黑体" w:eastAsia="仿宋_GB2312" w:cs="黑体"/>
                <w:color w:val="000000"/>
              </w:rPr>
            </w:pPr>
          </w:p>
        </w:tc>
        <w:tc>
          <w:tcPr>
            <w:tcW w:w="3681" w:type="dxa"/>
            <w:vMerge w:val="restart"/>
          </w:tcPr>
          <w:p w14:paraId="06189117">
            <w:pPr>
              <w:rPr>
                <w:rFonts w:ascii="仿宋_GB2312" w:hAnsi="黑体" w:eastAsia="仿宋_GB2312" w:cs="黑体"/>
                <w:color w:val="000000"/>
                <w:sz w:val="18"/>
                <w:szCs w:val="18"/>
              </w:rPr>
            </w:pPr>
            <w:r>
              <w:rPr>
                <w:rFonts w:hint="eastAsia" w:ascii="仿宋_GB2312" w:hAnsi="黑体" w:eastAsia="仿宋_GB2312" w:cs="黑体"/>
                <w:color w:val="000000"/>
                <w:sz w:val="18"/>
                <w:szCs w:val="18"/>
              </w:rPr>
              <w:t>附加分在工作报告中单列一栏填写，由县级管理员核对附件资料，云平台根据对应的级别分值自动统计。</w:t>
            </w:r>
          </w:p>
        </w:tc>
      </w:tr>
      <w:tr w14:paraId="041E03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60" w:type="dxa"/>
            <w:vMerge w:val="continue"/>
          </w:tcPr>
          <w:p w14:paraId="027100EB">
            <w:pPr>
              <w:widowControl/>
              <w:jc w:val="left"/>
              <w:rPr>
                <w:rFonts w:ascii="仿宋_GB2312" w:hAnsi="黑体" w:eastAsia="仿宋_GB2312" w:cs="黑体"/>
                <w:color w:val="000000"/>
              </w:rPr>
            </w:pPr>
          </w:p>
        </w:tc>
        <w:tc>
          <w:tcPr>
            <w:tcW w:w="1033" w:type="dxa"/>
            <w:vAlign w:val="center"/>
          </w:tcPr>
          <w:p w14:paraId="50C7D9AA">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填报数据</w:t>
            </w:r>
          </w:p>
          <w:p w14:paraId="2EBACD17">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w:t>
            </w:r>
            <w:r>
              <w:rPr>
                <w:rFonts w:ascii="仿宋_GB2312" w:hAnsi="黑体" w:eastAsia="仿宋_GB2312" w:cs="黑体"/>
                <w:color w:val="000000"/>
                <w:sz w:val="18"/>
                <w:szCs w:val="18"/>
              </w:rPr>
              <w:t>5分）</w:t>
            </w:r>
          </w:p>
        </w:tc>
        <w:tc>
          <w:tcPr>
            <w:tcW w:w="1096" w:type="dxa"/>
            <w:vAlign w:val="center"/>
          </w:tcPr>
          <w:p w14:paraId="0E576F4A">
            <w:pPr>
              <w:widowControl/>
              <w:jc w:val="center"/>
              <w:rPr>
                <w:rFonts w:ascii="仿宋_GB2312" w:hAnsi="黑体" w:eastAsia="仿宋_GB2312" w:cs="黑体"/>
                <w:color w:val="000000"/>
                <w:sz w:val="18"/>
                <w:szCs w:val="18"/>
              </w:rPr>
            </w:pPr>
          </w:p>
        </w:tc>
        <w:tc>
          <w:tcPr>
            <w:tcW w:w="2826" w:type="dxa"/>
            <w:vAlign w:val="center"/>
          </w:tcPr>
          <w:p w14:paraId="331A53C0">
            <w:pPr>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服务产业、项目、人才等获国家、省、市级政府表彰或资质认定的</w:t>
            </w:r>
          </w:p>
        </w:tc>
        <w:tc>
          <w:tcPr>
            <w:tcW w:w="886" w:type="dxa"/>
            <w:vAlign w:val="center"/>
          </w:tcPr>
          <w:p w14:paraId="5EC1FDFD">
            <w:pPr>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国家级</w:t>
            </w:r>
          </w:p>
          <w:p w14:paraId="586E383E">
            <w:pPr>
              <w:jc w:val="center"/>
              <w:rPr>
                <w:sz w:val="18"/>
                <w:szCs w:val="18"/>
              </w:rPr>
            </w:pPr>
            <w:r>
              <w:rPr>
                <w:rFonts w:hint="eastAsia" w:ascii="仿宋_GB2312" w:hAnsi="黑体" w:eastAsia="仿宋_GB2312" w:cs="黑体"/>
                <w:color w:val="000000"/>
                <w:sz w:val="18"/>
                <w:szCs w:val="18"/>
              </w:rPr>
              <w:t>（</w:t>
            </w:r>
            <w:r>
              <w:rPr>
                <w:rFonts w:ascii="仿宋_GB2312" w:hAnsi="黑体" w:eastAsia="仿宋_GB2312" w:cs="黑体"/>
                <w:color w:val="000000"/>
                <w:sz w:val="18"/>
                <w:szCs w:val="18"/>
              </w:rPr>
              <w:t>5分）</w:t>
            </w:r>
          </w:p>
        </w:tc>
        <w:tc>
          <w:tcPr>
            <w:tcW w:w="958" w:type="dxa"/>
            <w:vAlign w:val="center"/>
          </w:tcPr>
          <w:p w14:paraId="7E93916A">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省级</w:t>
            </w:r>
          </w:p>
          <w:p w14:paraId="512BEDBE">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w:t>
            </w:r>
            <w:r>
              <w:rPr>
                <w:rFonts w:ascii="仿宋_GB2312" w:hAnsi="黑体" w:eastAsia="仿宋_GB2312" w:cs="黑体"/>
                <w:color w:val="000000"/>
                <w:sz w:val="18"/>
                <w:szCs w:val="18"/>
              </w:rPr>
              <w:t>3分）</w:t>
            </w:r>
          </w:p>
        </w:tc>
        <w:tc>
          <w:tcPr>
            <w:tcW w:w="933" w:type="dxa"/>
            <w:vAlign w:val="center"/>
          </w:tcPr>
          <w:p w14:paraId="06557C66">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市级</w:t>
            </w:r>
          </w:p>
          <w:p w14:paraId="62E33CE6">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w:t>
            </w:r>
            <w:r>
              <w:rPr>
                <w:rFonts w:ascii="仿宋_GB2312" w:hAnsi="黑体" w:eastAsia="仿宋_GB2312" w:cs="黑体"/>
                <w:color w:val="000000"/>
                <w:sz w:val="18"/>
                <w:szCs w:val="18"/>
              </w:rPr>
              <w:t>1分）</w:t>
            </w:r>
          </w:p>
        </w:tc>
        <w:tc>
          <w:tcPr>
            <w:tcW w:w="884" w:type="dxa"/>
            <w:vAlign w:val="center"/>
          </w:tcPr>
          <w:p w14:paraId="5C86C41E">
            <w:pPr>
              <w:widowControl/>
              <w:jc w:val="center"/>
              <w:rPr>
                <w:rFonts w:ascii="仿宋_GB2312" w:hAnsi="黑体" w:eastAsia="仿宋_GB2312" w:cs="黑体"/>
                <w:color w:val="000000"/>
              </w:rPr>
            </w:pPr>
          </w:p>
        </w:tc>
        <w:tc>
          <w:tcPr>
            <w:tcW w:w="1068" w:type="dxa"/>
            <w:vAlign w:val="center"/>
          </w:tcPr>
          <w:p w14:paraId="0BE51EB2">
            <w:pPr>
              <w:widowControl/>
              <w:jc w:val="center"/>
              <w:rPr>
                <w:rFonts w:ascii="仿宋_GB2312" w:hAnsi="黑体" w:eastAsia="仿宋_GB2312" w:cs="黑体"/>
                <w:color w:val="000000"/>
              </w:rPr>
            </w:pPr>
          </w:p>
        </w:tc>
        <w:tc>
          <w:tcPr>
            <w:tcW w:w="3681" w:type="dxa"/>
            <w:vMerge w:val="continue"/>
            <w:vAlign w:val="center"/>
          </w:tcPr>
          <w:p w14:paraId="12170521">
            <w:pPr>
              <w:jc w:val="center"/>
              <w:rPr>
                <w:rFonts w:ascii="仿宋_GB2312" w:hAnsi="黑体" w:eastAsia="仿宋_GB2312" w:cs="黑体"/>
                <w:color w:val="000000"/>
              </w:rPr>
            </w:pPr>
          </w:p>
        </w:tc>
      </w:tr>
      <w:tr w14:paraId="19E4D4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60" w:type="dxa"/>
            <w:vMerge w:val="continue"/>
          </w:tcPr>
          <w:p w14:paraId="2A896DF6">
            <w:pPr>
              <w:widowControl/>
              <w:jc w:val="left"/>
              <w:rPr>
                <w:rFonts w:ascii="仿宋_GB2312" w:hAnsi="黑体" w:eastAsia="仿宋_GB2312" w:cs="黑体"/>
                <w:color w:val="000000"/>
              </w:rPr>
            </w:pPr>
          </w:p>
        </w:tc>
        <w:tc>
          <w:tcPr>
            <w:tcW w:w="1033" w:type="dxa"/>
            <w:vAlign w:val="center"/>
          </w:tcPr>
          <w:p w14:paraId="63A7D635">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填报数据</w:t>
            </w:r>
          </w:p>
          <w:p w14:paraId="2B588B35">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w:t>
            </w:r>
            <w:r>
              <w:rPr>
                <w:rFonts w:ascii="仿宋_GB2312" w:hAnsi="黑体" w:eastAsia="仿宋_GB2312" w:cs="黑体"/>
                <w:color w:val="000000"/>
                <w:sz w:val="18"/>
                <w:szCs w:val="18"/>
              </w:rPr>
              <w:t>5分）</w:t>
            </w:r>
          </w:p>
        </w:tc>
        <w:tc>
          <w:tcPr>
            <w:tcW w:w="1096" w:type="dxa"/>
            <w:vAlign w:val="center"/>
          </w:tcPr>
          <w:p w14:paraId="49F9E3DD">
            <w:pPr>
              <w:widowControl/>
              <w:jc w:val="center"/>
              <w:rPr>
                <w:rFonts w:ascii="仿宋_GB2312" w:hAnsi="黑体" w:eastAsia="仿宋_GB2312" w:cs="黑体"/>
                <w:color w:val="000000"/>
                <w:sz w:val="18"/>
                <w:szCs w:val="18"/>
              </w:rPr>
            </w:pPr>
          </w:p>
        </w:tc>
        <w:tc>
          <w:tcPr>
            <w:tcW w:w="2826" w:type="dxa"/>
            <w:vAlign w:val="center"/>
          </w:tcPr>
          <w:p w14:paraId="47FDD83E">
            <w:pPr>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科技服务突出成效、经验、模式，或对服务对象开展品牌建设、宣传推广等方面获得国家、省、市级媒体（报纸、电视、政府网站）刊发播放的</w:t>
            </w:r>
          </w:p>
        </w:tc>
        <w:tc>
          <w:tcPr>
            <w:tcW w:w="886" w:type="dxa"/>
            <w:vAlign w:val="center"/>
          </w:tcPr>
          <w:p w14:paraId="0E954274">
            <w:pPr>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国家级</w:t>
            </w:r>
          </w:p>
          <w:p w14:paraId="5671B31D">
            <w:pPr>
              <w:jc w:val="center"/>
              <w:rPr>
                <w:sz w:val="18"/>
                <w:szCs w:val="18"/>
              </w:rPr>
            </w:pPr>
            <w:r>
              <w:rPr>
                <w:rFonts w:hint="eastAsia" w:ascii="仿宋_GB2312" w:hAnsi="黑体" w:eastAsia="仿宋_GB2312" w:cs="黑体"/>
                <w:color w:val="000000"/>
                <w:sz w:val="18"/>
                <w:szCs w:val="18"/>
              </w:rPr>
              <w:t>（</w:t>
            </w:r>
            <w:r>
              <w:rPr>
                <w:rFonts w:ascii="仿宋_GB2312" w:hAnsi="黑体" w:eastAsia="仿宋_GB2312" w:cs="黑体"/>
                <w:color w:val="000000"/>
                <w:sz w:val="18"/>
                <w:szCs w:val="18"/>
              </w:rPr>
              <w:t>5分）</w:t>
            </w:r>
          </w:p>
        </w:tc>
        <w:tc>
          <w:tcPr>
            <w:tcW w:w="958" w:type="dxa"/>
            <w:vAlign w:val="center"/>
          </w:tcPr>
          <w:p w14:paraId="10274371">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省级</w:t>
            </w:r>
          </w:p>
          <w:p w14:paraId="1464DDBE">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w:t>
            </w:r>
            <w:r>
              <w:rPr>
                <w:rFonts w:ascii="仿宋_GB2312" w:hAnsi="黑体" w:eastAsia="仿宋_GB2312" w:cs="黑体"/>
                <w:color w:val="000000"/>
                <w:sz w:val="18"/>
                <w:szCs w:val="18"/>
              </w:rPr>
              <w:t>3分）</w:t>
            </w:r>
          </w:p>
        </w:tc>
        <w:tc>
          <w:tcPr>
            <w:tcW w:w="933" w:type="dxa"/>
            <w:vAlign w:val="center"/>
          </w:tcPr>
          <w:p w14:paraId="0AEF29E1">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市级</w:t>
            </w:r>
          </w:p>
          <w:p w14:paraId="7AE767E9">
            <w:pPr>
              <w:widowControl/>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w:t>
            </w:r>
            <w:r>
              <w:rPr>
                <w:rFonts w:ascii="仿宋_GB2312" w:hAnsi="黑体" w:eastAsia="仿宋_GB2312" w:cs="黑体"/>
                <w:color w:val="000000"/>
                <w:sz w:val="18"/>
                <w:szCs w:val="18"/>
              </w:rPr>
              <w:t>1分）</w:t>
            </w:r>
          </w:p>
        </w:tc>
        <w:tc>
          <w:tcPr>
            <w:tcW w:w="884" w:type="dxa"/>
            <w:vAlign w:val="center"/>
          </w:tcPr>
          <w:p w14:paraId="67939669">
            <w:pPr>
              <w:widowControl/>
              <w:jc w:val="center"/>
              <w:rPr>
                <w:rFonts w:ascii="仿宋_GB2312" w:hAnsi="黑体" w:eastAsia="仿宋_GB2312" w:cs="黑体"/>
                <w:color w:val="000000"/>
              </w:rPr>
            </w:pPr>
          </w:p>
        </w:tc>
        <w:tc>
          <w:tcPr>
            <w:tcW w:w="1068" w:type="dxa"/>
            <w:vAlign w:val="center"/>
          </w:tcPr>
          <w:p w14:paraId="29483EE0">
            <w:pPr>
              <w:widowControl/>
              <w:jc w:val="center"/>
              <w:rPr>
                <w:rFonts w:ascii="仿宋_GB2312" w:hAnsi="黑体" w:eastAsia="仿宋_GB2312" w:cs="黑体"/>
                <w:color w:val="000000"/>
              </w:rPr>
            </w:pPr>
          </w:p>
        </w:tc>
        <w:tc>
          <w:tcPr>
            <w:tcW w:w="3681" w:type="dxa"/>
            <w:vMerge w:val="continue"/>
            <w:vAlign w:val="center"/>
          </w:tcPr>
          <w:p w14:paraId="33319068">
            <w:pPr>
              <w:jc w:val="center"/>
              <w:rPr>
                <w:rFonts w:ascii="仿宋_GB2312" w:hAnsi="黑体" w:eastAsia="仿宋_GB2312" w:cs="黑体"/>
                <w:color w:val="000000"/>
              </w:rPr>
            </w:pPr>
          </w:p>
        </w:tc>
      </w:tr>
      <w:tr w14:paraId="69473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425" w:type="dxa"/>
            <w:gridSpan w:val="10"/>
          </w:tcPr>
          <w:p w14:paraId="27DDAB29">
            <w:pPr>
              <w:tabs>
                <w:tab w:val="left" w:pos="3865"/>
              </w:tabs>
              <w:jc w:val="left"/>
              <w:rPr>
                <w:rFonts w:ascii="仿宋_GB2312" w:hAnsi="黑体" w:eastAsia="仿宋_GB2312" w:cs="黑体"/>
                <w:color w:val="000000"/>
              </w:rPr>
            </w:pPr>
            <w:r>
              <w:rPr>
                <w:rFonts w:hint="eastAsia" w:ascii="仿宋_GB2312" w:hAnsi="黑体" w:eastAsia="仿宋_GB2312" w:cs="黑体"/>
                <w:color w:val="000000"/>
                <w:sz w:val="18"/>
                <w:szCs w:val="18"/>
              </w:rPr>
              <w:t>注：期满考核总分值低于60分的，考核结果等次评定为不合格；总分值超过60分（含60分），考核结果等次评定为合格；总分值超过90分（含90分）且分值排名前10%的，考核结果等次评定为优秀。</w:t>
            </w:r>
          </w:p>
        </w:tc>
      </w:tr>
    </w:tbl>
    <w:p w14:paraId="3D74F8ED">
      <w:pPr>
        <w:sectPr>
          <w:headerReference r:id="rId5" w:type="first"/>
          <w:footerReference r:id="rId7" w:type="first"/>
          <w:headerReference r:id="rId4" w:type="default"/>
          <w:footerReference r:id="rId6" w:type="default"/>
          <w:pgSz w:w="16838" w:h="11906" w:orient="landscape"/>
          <w:pgMar w:top="1134" w:right="1701" w:bottom="567" w:left="1701" w:header="567" w:footer="567" w:gutter="0"/>
          <w:pgNumType w:fmt="numberInDash"/>
          <w:cols w:space="720" w:num="1"/>
          <w:titlePg/>
          <w:docGrid w:type="linesAndChars" w:linePitch="312" w:charSpace="0"/>
        </w:sectPr>
      </w:pPr>
    </w:p>
    <w:p w14:paraId="634C3ACA">
      <w:pPr>
        <w:spacing w:line="540" w:lineRule="exact"/>
        <w:rPr>
          <w:rFonts w:ascii="仿宋_GB2312" w:hAnsi="黑体" w:eastAsia="仿宋_GB2312"/>
          <w:sz w:val="32"/>
          <w:szCs w:val="32"/>
        </w:rPr>
      </w:pPr>
      <w:r>
        <w:rPr>
          <w:rFonts w:hint="eastAsia" w:ascii="仿宋_GB2312" w:hAnsi="黑体" w:eastAsia="仿宋_GB2312"/>
          <w:sz w:val="32"/>
          <w:szCs w:val="32"/>
        </w:rPr>
        <w:t>附件3</w:t>
      </w:r>
    </w:p>
    <w:p w14:paraId="0E6AA7DE">
      <w:pPr>
        <w:autoSpaceDN w:val="0"/>
        <w:spacing w:line="560" w:lineRule="exact"/>
        <w:jc w:val="center"/>
        <w:rPr>
          <w:rFonts w:hAnsi="黑体" w:eastAsia="黑体"/>
          <w:sz w:val="36"/>
          <w:szCs w:val="36"/>
        </w:rPr>
      </w:pPr>
      <w:r>
        <w:rPr>
          <w:rFonts w:hint="eastAsia" w:eastAsia="黑体"/>
          <w:sz w:val="36"/>
          <w:szCs w:val="36"/>
        </w:rPr>
        <w:t>福建省科技特派员</w:t>
      </w:r>
      <w:r>
        <w:rPr>
          <w:rFonts w:hint="eastAsia" w:hAnsi="黑体" w:eastAsia="黑体"/>
          <w:sz w:val="36"/>
          <w:szCs w:val="36"/>
        </w:rPr>
        <w:t>服务成效评价表</w:t>
      </w:r>
    </w:p>
    <w:p w14:paraId="6F6D3F8B">
      <w:pPr>
        <w:autoSpaceDN w:val="0"/>
        <w:jc w:val="center"/>
        <w:rPr>
          <w:rFonts w:ascii="楷体" w:hAnsi="楷体" w:eastAsia="楷体" w:cs="楷体"/>
        </w:rPr>
      </w:pPr>
      <w:r>
        <w:rPr>
          <w:rFonts w:hint="eastAsia" w:ascii="楷体" w:hAnsi="楷体" w:eastAsia="楷体" w:cs="楷体"/>
        </w:rPr>
        <w:t>（服务对象填写）</w:t>
      </w:r>
    </w:p>
    <w:p w14:paraId="4CC1B111">
      <w:pPr>
        <w:spacing w:line="560" w:lineRule="exact"/>
        <w:rPr>
          <w:rFonts w:ascii="仿宋_GB2312" w:hAnsi="宋体"/>
          <w:szCs w:val="21"/>
        </w:rPr>
      </w:pPr>
      <w:r>
        <w:rPr>
          <w:rFonts w:hint="eastAsia" w:ascii="仿宋_GB2312" w:hAnsi="宋体"/>
          <w:szCs w:val="21"/>
        </w:rPr>
        <w:t>填表单位（服务对象）：</w:t>
      </w:r>
    </w:p>
    <w:tbl>
      <w:tblPr>
        <w:tblStyle w:val="11"/>
        <w:tblW w:w="89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709"/>
        <w:gridCol w:w="992"/>
        <w:gridCol w:w="993"/>
        <w:gridCol w:w="320"/>
        <w:gridCol w:w="672"/>
        <w:gridCol w:w="608"/>
        <w:gridCol w:w="384"/>
        <w:gridCol w:w="992"/>
        <w:gridCol w:w="897"/>
      </w:tblGrid>
      <w:tr w14:paraId="336EB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restart"/>
            <w:vAlign w:val="center"/>
          </w:tcPr>
          <w:p w14:paraId="473F5EC7">
            <w:pPr>
              <w:spacing w:line="360" w:lineRule="auto"/>
              <w:jc w:val="center"/>
              <w:rPr>
                <w:rFonts w:ascii="仿宋_GB2312" w:hAnsi="宋体" w:eastAsia="仿宋_GB2312"/>
                <w:spacing w:val="-4"/>
                <w:szCs w:val="21"/>
              </w:rPr>
            </w:pPr>
            <w:r>
              <w:rPr>
                <w:rFonts w:hint="eastAsia" w:ascii="仿宋_GB2312" w:hAnsi="宋体" w:eastAsia="仿宋_GB2312"/>
                <w:spacing w:val="-4"/>
                <w:szCs w:val="21"/>
              </w:rPr>
              <w:t>科技特派员</w:t>
            </w:r>
          </w:p>
        </w:tc>
        <w:tc>
          <w:tcPr>
            <w:tcW w:w="1134" w:type="dxa"/>
            <w:vAlign w:val="center"/>
          </w:tcPr>
          <w:p w14:paraId="02D2CEA2">
            <w:pPr>
              <w:spacing w:line="360" w:lineRule="auto"/>
              <w:jc w:val="center"/>
              <w:rPr>
                <w:rFonts w:ascii="仿宋_GB2312" w:hAnsi="宋体" w:eastAsia="仿宋_GB2312"/>
                <w:szCs w:val="21"/>
              </w:rPr>
            </w:pPr>
            <w:r>
              <w:rPr>
                <w:rFonts w:hint="eastAsia" w:ascii="仿宋_GB2312" w:hAnsi="宋体" w:eastAsia="仿宋_GB2312"/>
                <w:szCs w:val="21"/>
              </w:rPr>
              <w:t>姓名</w:t>
            </w:r>
          </w:p>
        </w:tc>
        <w:tc>
          <w:tcPr>
            <w:tcW w:w="3014" w:type="dxa"/>
            <w:gridSpan w:val="4"/>
            <w:vAlign w:val="center"/>
          </w:tcPr>
          <w:p w14:paraId="48A3653F">
            <w:pPr>
              <w:spacing w:line="360" w:lineRule="auto"/>
              <w:jc w:val="center"/>
              <w:rPr>
                <w:rFonts w:ascii="仿宋_GB2312" w:hAnsi="宋体" w:eastAsia="仿宋_GB2312"/>
                <w:szCs w:val="21"/>
              </w:rPr>
            </w:pPr>
          </w:p>
        </w:tc>
        <w:tc>
          <w:tcPr>
            <w:tcW w:w="1280" w:type="dxa"/>
            <w:gridSpan w:val="2"/>
            <w:vAlign w:val="center"/>
          </w:tcPr>
          <w:p w14:paraId="6B11093E">
            <w:pPr>
              <w:spacing w:line="360" w:lineRule="auto"/>
              <w:jc w:val="center"/>
              <w:rPr>
                <w:rFonts w:ascii="仿宋_GB2312" w:hAnsi="宋体" w:eastAsia="仿宋_GB2312"/>
                <w:szCs w:val="21"/>
              </w:rPr>
            </w:pPr>
            <w:r>
              <w:rPr>
                <w:rFonts w:hint="eastAsia" w:ascii="仿宋_GB2312" w:hAnsi="宋体" w:eastAsia="仿宋_GB2312"/>
                <w:szCs w:val="21"/>
              </w:rPr>
              <w:t>身份证号</w:t>
            </w:r>
          </w:p>
        </w:tc>
        <w:tc>
          <w:tcPr>
            <w:tcW w:w="2273" w:type="dxa"/>
            <w:gridSpan w:val="3"/>
            <w:vAlign w:val="center"/>
          </w:tcPr>
          <w:p w14:paraId="0A4C376C">
            <w:pPr>
              <w:spacing w:line="360" w:lineRule="auto"/>
              <w:jc w:val="center"/>
              <w:rPr>
                <w:rFonts w:ascii="仿宋_GB2312" w:hAnsi="宋体" w:eastAsia="仿宋_GB2312"/>
                <w:szCs w:val="21"/>
              </w:rPr>
            </w:pPr>
          </w:p>
        </w:tc>
      </w:tr>
      <w:tr w14:paraId="7AAD3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1242" w:type="dxa"/>
            <w:vMerge w:val="continue"/>
            <w:vAlign w:val="center"/>
          </w:tcPr>
          <w:p w14:paraId="5139C108">
            <w:pPr>
              <w:spacing w:line="360" w:lineRule="auto"/>
              <w:jc w:val="center"/>
              <w:rPr>
                <w:rFonts w:ascii="仿宋_GB2312" w:hAnsi="宋体" w:eastAsia="仿宋_GB2312"/>
                <w:spacing w:val="-4"/>
                <w:szCs w:val="21"/>
              </w:rPr>
            </w:pPr>
          </w:p>
        </w:tc>
        <w:tc>
          <w:tcPr>
            <w:tcW w:w="1134" w:type="dxa"/>
            <w:vAlign w:val="center"/>
          </w:tcPr>
          <w:p w14:paraId="7E0CC8E1">
            <w:pPr>
              <w:spacing w:line="360" w:lineRule="auto"/>
              <w:jc w:val="center"/>
              <w:rPr>
                <w:rFonts w:ascii="仿宋_GB2312" w:hAnsi="宋体" w:eastAsia="仿宋_GB2312"/>
                <w:szCs w:val="21"/>
              </w:rPr>
            </w:pPr>
            <w:r>
              <w:rPr>
                <w:rFonts w:hint="eastAsia" w:ascii="仿宋_GB2312" w:hAnsi="宋体" w:eastAsia="仿宋_GB2312"/>
                <w:szCs w:val="21"/>
              </w:rPr>
              <w:t>工作单位</w:t>
            </w:r>
          </w:p>
        </w:tc>
        <w:tc>
          <w:tcPr>
            <w:tcW w:w="3014" w:type="dxa"/>
            <w:gridSpan w:val="4"/>
            <w:vAlign w:val="center"/>
          </w:tcPr>
          <w:p w14:paraId="5730E812">
            <w:pPr>
              <w:spacing w:line="360" w:lineRule="auto"/>
              <w:jc w:val="center"/>
              <w:rPr>
                <w:rFonts w:ascii="仿宋_GB2312" w:hAnsi="宋体" w:eastAsia="仿宋_GB2312"/>
                <w:szCs w:val="21"/>
              </w:rPr>
            </w:pPr>
          </w:p>
        </w:tc>
        <w:tc>
          <w:tcPr>
            <w:tcW w:w="1280" w:type="dxa"/>
            <w:gridSpan w:val="2"/>
            <w:vAlign w:val="center"/>
          </w:tcPr>
          <w:p w14:paraId="604C9536">
            <w:pPr>
              <w:spacing w:line="360" w:lineRule="auto"/>
              <w:jc w:val="center"/>
              <w:rPr>
                <w:rFonts w:ascii="仿宋_GB2312" w:hAnsi="宋体" w:eastAsia="仿宋_GB2312"/>
                <w:szCs w:val="21"/>
              </w:rPr>
            </w:pPr>
            <w:r>
              <w:rPr>
                <w:rFonts w:hint="eastAsia" w:ascii="仿宋_GB2312" w:hAnsi="宋体" w:eastAsia="仿宋_GB2312"/>
                <w:szCs w:val="21"/>
              </w:rPr>
              <w:t>联系电话</w:t>
            </w:r>
          </w:p>
        </w:tc>
        <w:tc>
          <w:tcPr>
            <w:tcW w:w="2273" w:type="dxa"/>
            <w:gridSpan w:val="3"/>
            <w:vAlign w:val="center"/>
          </w:tcPr>
          <w:p w14:paraId="6B347424">
            <w:pPr>
              <w:spacing w:line="360" w:lineRule="auto"/>
              <w:jc w:val="center"/>
              <w:rPr>
                <w:rFonts w:ascii="仿宋_GB2312" w:hAnsi="宋体" w:eastAsia="仿宋_GB2312"/>
                <w:szCs w:val="21"/>
              </w:rPr>
            </w:pPr>
          </w:p>
        </w:tc>
      </w:tr>
      <w:tr w14:paraId="2BD0B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restart"/>
            <w:vAlign w:val="center"/>
          </w:tcPr>
          <w:p w14:paraId="06E1B850">
            <w:pPr>
              <w:spacing w:line="360" w:lineRule="auto"/>
              <w:jc w:val="center"/>
              <w:rPr>
                <w:rFonts w:ascii="仿宋_GB2312" w:hAnsi="宋体" w:eastAsia="仿宋_GB2312"/>
                <w:szCs w:val="21"/>
              </w:rPr>
            </w:pPr>
            <w:r>
              <w:rPr>
                <w:rFonts w:hint="eastAsia" w:ascii="仿宋_GB2312" w:hAnsi="宋体" w:eastAsia="仿宋_GB2312"/>
                <w:szCs w:val="21"/>
              </w:rPr>
              <w:t>服务对象</w:t>
            </w:r>
          </w:p>
        </w:tc>
        <w:tc>
          <w:tcPr>
            <w:tcW w:w="1134" w:type="dxa"/>
            <w:vAlign w:val="center"/>
          </w:tcPr>
          <w:p w14:paraId="0AD96C09">
            <w:pPr>
              <w:spacing w:line="360" w:lineRule="auto"/>
              <w:jc w:val="center"/>
              <w:rPr>
                <w:rFonts w:ascii="仿宋_GB2312" w:hAnsi="宋体" w:eastAsia="仿宋_GB2312"/>
                <w:szCs w:val="21"/>
              </w:rPr>
            </w:pPr>
            <w:r>
              <w:rPr>
                <w:rFonts w:hint="eastAsia" w:ascii="仿宋_GB2312" w:hAnsi="宋体" w:eastAsia="仿宋_GB2312"/>
                <w:szCs w:val="21"/>
              </w:rPr>
              <w:t>单位名称</w:t>
            </w:r>
          </w:p>
        </w:tc>
        <w:tc>
          <w:tcPr>
            <w:tcW w:w="3014" w:type="dxa"/>
            <w:gridSpan w:val="4"/>
            <w:vAlign w:val="center"/>
          </w:tcPr>
          <w:p w14:paraId="2424FAE0">
            <w:pPr>
              <w:spacing w:line="360" w:lineRule="auto"/>
              <w:jc w:val="center"/>
              <w:rPr>
                <w:rFonts w:ascii="仿宋_GB2312" w:hAnsi="宋体" w:eastAsia="仿宋_GB2312"/>
                <w:szCs w:val="21"/>
              </w:rPr>
            </w:pPr>
          </w:p>
        </w:tc>
        <w:tc>
          <w:tcPr>
            <w:tcW w:w="1280" w:type="dxa"/>
            <w:gridSpan w:val="2"/>
            <w:vAlign w:val="center"/>
          </w:tcPr>
          <w:p w14:paraId="374FFB5E">
            <w:pPr>
              <w:spacing w:line="360" w:lineRule="auto"/>
              <w:jc w:val="center"/>
              <w:rPr>
                <w:rFonts w:ascii="仿宋_GB2312" w:hAnsi="宋体" w:eastAsia="仿宋_GB2312"/>
                <w:szCs w:val="21"/>
              </w:rPr>
            </w:pPr>
            <w:r>
              <w:rPr>
                <w:rFonts w:hint="eastAsia" w:ascii="仿宋_GB2312" w:hAnsi="宋体" w:eastAsia="仿宋_GB2312"/>
                <w:szCs w:val="21"/>
              </w:rPr>
              <w:t>所在区县</w:t>
            </w:r>
          </w:p>
        </w:tc>
        <w:tc>
          <w:tcPr>
            <w:tcW w:w="2273" w:type="dxa"/>
            <w:gridSpan w:val="3"/>
            <w:vAlign w:val="center"/>
          </w:tcPr>
          <w:p w14:paraId="3B02843C">
            <w:pPr>
              <w:spacing w:line="360" w:lineRule="auto"/>
              <w:jc w:val="center"/>
              <w:rPr>
                <w:rFonts w:ascii="仿宋_GB2312" w:hAnsi="宋体" w:eastAsia="仿宋_GB2312"/>
                <w:szCs w:val="21"/>
              </w:rPr>
            </w:pPr>
          </w:p>
        </w:tc>
      </w:tr>
      <w:tr w14:paraId="189A2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vAlign w:val="center"/>
          </w:tcPr>
          <w:p w14:paraId="4843219F">
            <w:pPr>
              <w:spacing w:line="360" w:lineRule="auto"/>
              <w:jc w:val="center"/>
              <w:rPr>
                <w:rFonts w:ascii="仿宋_GB2312" w:hAnsi="宋体" w:eastAsia="仿宋_GB2312"/>
                <w:szCs w:val="21"/>
              </w:rPr>
            </w:pPr>
          </w:p>
        </w:tc>
        <w:tc>
          <w:tcPr>
            <w:tcW w:w="1134" w:type="dxa"/>
            <w:vAlign w:val="center"/>
          </w:tcPr>
          <w:p w14:paraId="51FF2376">
            <w:pPr>
              <w:spacing w:line="360" w:lineRule="auto"/>
              <w:jc w:val="center"/>
              <w:rPr>
                <w:rFonts w:ascii="仿宋_GB2312" w:hAnsi="宋体" w:eastAsia="仿宋_GB2312"/>
                <w:szCs w:val="21"/>
              </w:rPr>
            </w:pPr>
            <w:r>
              <w:rPr>
                <w:rFonts w:hint="eastAsia" w:ascii="仿宋_GB2312" w:hAnsi="宋体" w:eastAsia="仿宋_GB2312"/>
                <w:szCs w:val="21"/>
              </w:rPr>
              <w:t>联系人</w:t>
            </w:r>
          </w:p>
        </w:tc>
        <w:tc>
          <w:tcPr>
            <w:tcW w:w="3014" w:type="dxa"/>
            <w:gridSpan w:val="4"/>
            <w:vAlign w:val="center"/>
          </w:tcPr>
          <w:p w14:paraId="07A89630">
            <w:pPr>
              <w:spacing w:line="360" w:lineRule="auto"/>
              <w:jc w:val="center"/>
              <w:rPr>
                <w:rFonts w:ascii="仿宋_GB2312" w:hAnsi="宋体" w:eastAsia="仿宋_GB2312"/>
                <w:szCs w:val="21"/>
              </w:rPr>
            </w:pPr>
          </w:p>
        </w:tc>
        <w:tc>
          <w:tcPr>
            <w:tcW w:w="1280" w:type="dxa"/>
            <w:gridSpan w:val="2"/>
            <w:vAlign w:val="center"/>
          </w:tcPr>
          <w:p w14:paraId="2A941A49">
            <w:pPr>
              <w:spacing w:line="360" w:lineRule="auto"/>
              <w:jc w:val="center"/>
              <w:rPr>
                <w:rFonts w:ascii="仿宋_GB2312" w:hAnsi="宋体" w:eastAsia="仿宋_GB2312"/>
                <w:szCs w:val="21"/>
              </w:rPr>
            </w:pPr>
            <w:r>
              <w:rPr>
                <w:rFonts w:hint="eastAsia" w:ascii="仿宋_GB2312" w:hAnsi="宋体" w:eastAsia="仿宋_GB2312"/>
                <w:szCs w:val="21"/>
              </w:rPr>
              <w:t>联系电话</w:t>
            </w:r>
          </w:p>
        </w:tc>
        <w:tc>
          <w:tcPr>
            <w:tcW w:w="2273" w:type="dxa"/>
            <w:gridSpan w:val="3"/>
            <w:vAlign w:val="center"/>
          </w:tcPr>
          <w:p w14:paraId="37CCE872">
            <w:pPr>
              <w:spacing w:line="360" w:lineRule="auto"/>
              <w:jc w:val="center"/>
              <w:rPr>
                <w:rFonts w:ascii="仿宋_GB2312" w:hAnsi="宋体" w:eastAsia="仿宋_GB2312"/>
                <w:szCs w:val="21"/>
              </w:rPr>
            </w:pPr>
          </w:p>
        </w:tc>
      </w:tr>
      <w:tr w14:paraId="3ED1B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gridSpan w:val="3"/>
            <w:vAlign w:val="center"/>
          </w:tcPr>
          <w:p w14:paraId="09898656">
            <w:pPr>
              <w:spacing w:line="560" w:lineRule="exact"/>
              <w:jc w:val="center"/>
              <w:rPr>
                <w:rFonts w:ascii="仿宋_GB2312" w:hAnsi="宋体" w:eastAsia="仿宋_GB2312"/>
                <w:szCs w:val="21"/>
                <w:u w:val="single"/>
              </w:rPr>
            </w:pPr>
            <w:r>
              <w:rPr>
                <w:rFonts w:hint="eastAsia" w:ascii="仿宋_GB2312" w:hAnsi="宋体" w:eastAsia="仿宋_GB2312"/>
                <w:szCs w:val="21"/>
              </w:rPr>
              <w:t>服务期（评价期）</w:t>
            </w:r>
          </w:p>
        </w:tc>
        <w:tc>
          <w:tcPr>
            <w:tcW w:w="5858" w:type="dxa"/>
            <w:gridSpan w:val="8"/>
            <w:vAlign w:val="center"/>
          </w:tcPr>
          <w:p w14:paraId="05821337">
            <w:pPr>
              <w:spacing w:line="560" w:lineRule="exact"/>
              <w:jc w:val="center"/>
              <w:rPr>
                <w:rFonts w:ascii="仿宋_GB2312" w:hAnsi="宋体" w:eastAsia="仿宋_GB2312"/>
                <w:szCs w:val="21"/>
                <w:u w:val="single"/>
              </w:rPr>
            </w:pPr>
            <w:r>
              <w:rPr>
                <w:rFonts w:hint="eastAsia" w:ascii="仿宋_GB2312" w:hAnsi="宋体" w:eastAsia="仿宋_GB2312"/>
                <w:szCs w:val="21"/>
              </w:rPr>
              <w:t>自</w:t>
            </w:r>
            <w:r>
              <w:rPr>
                <w:rFonts w:hint="eastAsia" w:ascii="仿宋_GB2312" w:hAnsi="宋体" w:eastAsia="仿宋_GB2312"/>
                <w:szCs w:val="21"/>
                <w:u w:val="single"/>
              </w:rPr>
              <w:t>2026</w:t>
            </w:r>
            <w:r>
              <w:rPr>
                <w:rFonts w:hint="eastAsia" w:ascii="仿宋_GB2312" w:hAnsi="宋体" w:eastAsia="仿宋_GB2312"/>
                <w:szCs w:val="21"/>
              </w:rPr>
              <w:t>年至</w:t>
            </w:r>
            <w:r>
              <w:rPr>
                <w:rFonts w:hint="eastAsia" w:ascii="仿宋_GB2312" w:hAnsi="宋体" w:eastAsia="仿宋_GB2312"/>
                <w:szCs w:val="21"/>
                <w:u w:val="single"/>
              </w:rPr>
              <w:t>2027</w:t>
            </w:r>
            <w:r>
              <w:rPr>
                <w:rFonts w:hint="eastAsia" w:ascii="仿宋_GB2312" w:hAnsi="宋体" w:eastAsia="仿宋_GB2312"/>
                <w:szCs w:val="21"/>
              </w:rPr>
              <w:t>年</w:t>
            </w:r>
          </w:p>
        </w:tc>
      </w:tr>
      <w:tr w14:paraId="076F7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restart"/>
            <w:vAlign w:val="center"/>
          </w:tcPr>
          <w:p w14:paraId="0FA1AB47">
            <w:pPr>
              <w:widowControl/>
              <w:jc w:val="center"/>
              <w:rPr>
                <w:rFonts w:ascii="仿宋_GB2312" w:hAnsi="黑体" w:eastAsia="仿宋_GB2312" w:cs="黑体"/>
                <w:color w:val="000000"/>
              </w:rPr>
            </w:pPr>
            <w:r>
              <w:rPr>
                <w:rFonts w:hint="eastAsia" w:ascii="仿宋_GB2312" w:hAnsi="黑体" w:eastAsia="仿宋_GB2312" w:cs="黑体"/>
                <w:color w:val="000000"/>
              </w:rPr>
              <w:t>评价分项</w:t>
            </w:r>
          </w:p>
        </w:tc>
        <w:tc>
          <w:tcPr>
            <w:tcW w:w="1843" w:type="dxa"/>
            <w:gridSpan w:val="2"/>
            <w:vMerge w:val="restart"/>
            <w:vAlign w:val="center"/>
          </w:tcPr>
          <w:p w14:paraId="30E30515">
            <w:pPr>
              <w:widowControl/>
              <w:jc w:val="center"/>
              <w:rPr>
                <w:rFonts w:ascii="仿宋_GB2312" w:hAnsi="黑体" w:eastAsia="仿宋_GB2312" w:cs="黑体"/>
                <w:color w:val="000000"/>
              </w:rPr>
            </w:pPr>
            <w:r>
              <w:rPr>
                <w:rFonts w:hint="eastAsia" w:ascii="仿宋_GB2312" w:hAnsi="黑体" w:eastAsia="仿宋_GB2312" w:cs="黑体"/>
                <w:color w:val="000000"/>
              </w:rPr>
              <w:t>分项说明</w:t>
            </w:r>
          </w:p>
        </w:tc>
        <w:tc>
          <w:tcPr>
            <w:tcW w:w="5858" w:type="dxa"/>
            <w:gridSpan w:val="8"/>
            <w:vAlign w:val="center"/>
          </w:tcPr>
          <w:p w14:paraId="5BABA8A8">
            <w:pPr>
              <w:spacing w:line="360" w:lineRule="auto"/>
              <w:jc w:val="center"/>
              <w:rPr>
                <w:rFonts w:ascii="仿宋_GB2312" w:hAnsi="宋体" w:eastAsia="仿宋_GB2312"/>
                <w:szCs w:val="21"/>
              </w:rPr>
            </w:pPr>
            <w:r>
              <w:rPr>
                <w:rFonts w:hint="eastAsia" w:ascii="仿宋_GB2312" w:hAnsi="宋体" w:eastAsia="仿宋_GB2312"/>
                <w:szCs w:val="21"/>
              </w:rPr>
              <w:t>评价分值（总分30分）</w:t>
            </w:r>
          </w:p>
        </w:tc>
      </w:tr>
      <w:tr w14:paraId="1FCBC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vAlign w:val="center"/>
          </w:tcPr>
          <w:p w14:paraId="6E24E2FD">
            <w:pPr>
              <w:spacing w:line="560" w:lineRule="exact"/>
              <w:jc w:val="center"/>
              <w:rPr>
                <w:rFonts w:ascii="仿宋_GB2312" w:hAnsi="宋体" w:eastAsia="仿宋_GB2312"/>
                <w:szCs w:val="21"/>
              </w:rPr>
            </w:pPr>
          </w:p>
        </w:tc>
        <w:tc>
          <w:tcPr>
            <w:tcW w:w="1843" w:type="dxa"/>
            <w:gridSpan w:val="2"/>
            <w:vMerge w:val="continue"/>
            <w:vAlign w:val="center"/>
          </w:tcPr>
          <w:p w14:paraId="5FA98C0A">
            <w:pPr>
              <w:widowControl/>
              <w:jc w:val="center"/>
              <w:rPr>
                <w:rFonts w:ascii="仿宋_GB2312" w:hAnsi="黑体" w:eastAsia="仿宋_GB2312" w:cs="黑体"/>
                <w:color w:val="000000"/>
                <w:sz w:val="18"/>
                <w:szCs w:val="18"/>
              </w:rPr>
            </w:pPr>
          </w:p>
        </w:tc>
        <w:tc>
          <w:tcPr>
            <w:tcW w:w="992" w:type="dxa"/>
            <w:vAlign w:val="center"/>
          </w:tcPr>
          <w:p w14:paraId="3FAD1A03">
            <w:pPr>
              <w:widowControl/>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优</w:t>
            </w:r>
          </w:p>
        </w:tc>
        <w:tc>
          <w:tcPr>
            <w:tcW w:w="993" w:type="dxa"/>
            <w:vAlign w:val="center"/>
          </w:tcPr>
          <w:p w14:paraId="2BE6E572">
            <w:pPr>
              <w:widowControl/>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良</w:t>
            </w:r>
          </w:p>
        </w:tc>
        <w:tc>
          <w:tcPr>
            <w:tcW w:w="992" w:type="dxa"/>
            <w:gridSpan w:val="2"/>
            <w:vAlign w:val="center"/>
          </w:tcPr>
          <w:p w14:paraId="17BBD4B0">
            <w:pPr>
              <w:widowControl/>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中</w:t>
            </w:r>
          </w:p>
        </w:tc>
        <w:tc>
          <w:tcPr>
            <w:tcW w:w="992" w:type="dxa"/>
            <w:gridSpan w:val="2"/>
            <w:vAlign w:val="center"/>
          </w:tcPr>
          <w:p w14:paraId="5B5749F0">
            <w:pPr>
              <w:widowControl/>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合格</w:t>
            </w:r>
          </w:p>
        </w:tc>
        <w:tc>
          <w:tcPr>
            <w:tcW w:w="992" w:type="dxa"/>
            <w:vAlign w:val="center"/>
          </w:tcPr>
          <w:p w14:paraId="35F4732E">
            <w:pPr>
              <w:widowControl/>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不合格</w:t>
            </w:r>
          </w:p>
        </w:tc>
        <w:tc>
          <w:tcPr>
            <w:tcW w:w="897" w:type="dxa"/>
            <w:vAlign w:val="center"/>
          </w:tcPr>
          <w:p w14:paraId="42A92181">
            <w:pPr>
              <w:widowControl/>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分项</w:t>
            </w:r>
          </w:p>
          <w:p w14:paraId="1F67D130">
            <w:pPr>
              <w:widowControl/>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得分</w:t>
            </w:r>
          </w:p>
        </w:tc>
      </w:tr>
      <w:tr w14:paraId="3F95E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242" w:type="dxa"/>
            <w:vAlign w:val="center"/>
          </w:tcPr>
          <w:p w14:paraId="16449219">
            <w:pPr>
              <w:widowControl/>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服务态度</w:t>
            </w:r>
          </w:p>
        </w:tc>
        <w:tc>
          <w:tcPr>
            <w:tcW w:w="1843" w:type="dxa"/>
            <w:gridSpan w:val="2"/>
            <w:vAlign w:val="center"/>
          </w:tcPr>
          <w:p w14:paraId="52444665">
            <w:pPr>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对服务对象提出问题的反馈是否及时、认真</w:t>
            </w:r>
          </w:p>
        </w:tc>
        <w:tc>
          <w:tcPr>
            <w:tcW w:w="992" w:type="dxa"/>
            <w:vAlign w:val="center"/>
          </w:tcPr>
          <w:p w14:paraId="6A4EE415">
            <w:pPr>
              <w:jc w:val="center"/>
              <w:rPr>
                <w:rFonts w:ascii="仿宋_GB2312" w:eastAsia="仿宋_GB2312"/>
              </w:rPr>
            </w:pPr>
            <w:r>
              <w:rPr>
                <w:rFonts w:hint="eastAsia" w:ascii="仿宋_GB2312" w:hAnsi="黑体" w:eastAsia="仿宋_GB2312" w:cs="黑体"/>
                <w:color w:val="000000"/>
                <w:sz w:val="18"/>
                <w:szCs w:val="18"/>
              </w:rPr>
              <w:t>5.4-6</w:t>
            </w:r>
          </w:p>
        </w:tc>
        <w:tc>
          <w:tcPr>
            <w:tcW w:w="993" w:type="dxa"/>
            <w:vAlign w:val="center"/>
          </w:tcPr>
          <w:p w14:paraId="512574A6">
            <w:pPr>
              <w:jc w:val="center"/>
              <w:rPr>
                <w:rFonts w:ascii="仿宋_GB2312" w:eastAsia="仿宋_GB2312"/>
              </w:rPr>
            </w:pPr>
            <w:r>
              <w:rPr>
                <w:rFonts w:hint="eastAsia" w:ascii="仿宋_GB2312" w:hAnsi="黑体" w:eastAsia="仿宋_GB2312" w:cs="黑体"/>
                <w:color w:val="000000"/>
                <w:sz w:val="18"/>
                <w:szCs w:val="18"/>
              </w:rPr>
              <w:t>4.8-5.3</w:t>
            </w:r>
          </w:p>
        </w:tc>
        <w:tc>
          <w:tcPr>
            <w:tcW w:w="992" w:type="dxa"/>
            <w:gridSpan w:val="2"/>
            <w:vAlign w:val="center"/>
          </w:tcPr>
          <w:p w14:paraId="4E7E9BC8">
            <w:pPr>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4.2-4.7</w:t>
            </w:r>
          </w:p>
        </w:tc>
        <w:tc>
          <w:tcPr>
            <w:tcW w:w="992" w:type="dxa"/>
            <w:gridSpan w:val="2"/>
            <w:vAlign w:val="center"/>
          </w:tcPr>
          <w:p w14:paraId="2B7674AC">
            <w:pPr>
              <w:jc w:val="center"/>
              <w:rPr>
                <w:rFonts w:ascii="仿宋_GB2312" w:eastAsia="仿宋_GB2312"/>
              </w:rPr>
            </w:pPr>
            <w:r>
              <w:rPr>
                <w:rFonts w:hint="eastAsia" w:ascii="仿宋_GB2312" w:hAnsi="黑体" w:eastAsia="仿宋_GB2312" w:cs="黑体"/>
                <w:color w:val="000000"/>
                <w:sz w:val="18"/>
                <w:szCs w:val="18"/>
              </w:rPr>
              <w:t>3.6-4.1</w:t>
            </w:r>
          </w:p>
        </w:tc>
        <w:tc>
          <w:tcPr>
            <w:tcW w:w="992" w:type="dxa"/>
            <w:vAlign w:val="center"/>
          </w:tcPr>
          <w:p w14:paraId="7D2FDF43">
            <w:pPr>
              <w:jc w:val="center"/>
              <w:rPr>
                <w:rFonts w:ascii="仿宋_GB2312" w:hAnsi="黑体" w:eastAsia="仿宋_GB2312" w:cs="黑体"/>
                <w:color w:val="000000"/>
                <w:sz w:val="18"/>
                <w:szCs w:val="18"/>
              </w:rPr>
            </w:pPr>
            <w:r>
              <w:rPr>
                <w:rFonts w:hint="eastAsia" w:ascii="微软雅黑" w:hAnsi="微软雅黑" w:eastAsia="微软雅黑" w:cs="微软雅黑"/>
                <w:color w:val="000000"/>
                <w:sz w:val="18"/>
                <w:szCs w:val="18"/>
              </w:rPr>
              <w:t>&lt;</w:t>
            </w:r>
            <w:r>
              <w:rPr>
                <w:rFonts w:hint="eastAsia" w:ascii="仿宋_GB2312" w:hAnsi="黑体" w:eastAsia="仿宋_GB2312" w:cs="黑体"/>
                <w:color w:val="000000"/>
                <w:sz w:val="18"/>
                <w:szCs w:val="18"/>
              </w:rPr>
              <w:t>3.6</w:t>
            </w:r>
          </w:p>
        </w:tc>
        <w:tc>
          <w:tcPr>
            <w:tcW w:w="897" w:type="dxa"/>
            <w:vAlign w:val="center"/>
          </w:tcPr>
          <w:p w14:paraId="00313078">
            <w:pPr>
              <w:jc w:val="center"/>
              <w:rPr>
                <w:rFonts w:ascii="仿宋_GB2312" w:eastAsia="仿宋_GB2312"/>
              </w:rPr>
            </w:pPr>
          </w:p>
        </w:tc>
      </w:tr>
      <w:tr w14:paraId="583C5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242" w:type="dxa"/>
            <w:vAlign w:val="center"/>
          </w:tcPr>
          <w:p w14:paraId="36D45D21">
            <w:pPr>
              <w:widowControl/>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解决问题</w:t>
            </w:r>
          </w:p>
        </w:tc>
        <w:tc>
          <w:tcPr>
            <w:tcW w:w="1843" w:type="dxa"/>
            <w:gridSpan w:val="2"/>
            <w:vAlign w:val="center"/>
          </w:tcPr>
          <w:p w14:paraId="7E2BE50D">
            <w:pPr>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解决服务对象提出的实际生产经营问题</w:t>
            </w:r>
          </w:p>
        </w:tc>
        <w:tc>
          <w:tcPr>
            <w:tcW w:w="992" w:type="dxa"/>
            <w:vAlign w:val="center"/>
          </w:tcPr>
          <w:p w14:paraId="6173728D">
            <w:pPr>
              <w:jc w:val="center"/>
              <w:rPr>
                <w:rFonts w:ascii="仿宋_GB2312" w:eastAsia="仿宋_GB2312"/>
              </w:rPr>
            </w:pPr>
            <w:r>
              <w:rPr>
                <w:rFonts w:hint="eastAsia" w:ascii="仿宋_GB2312" w:hAnsi="黑体" w:eastAsia="仿宋_GB2312" w:cs="黑体"/>
                <w:color w:val="000000"/>
                <w:sz w:val="18"/>
                <w:szCs w:val="18"/>
              </w:rPr>
              <w:t>5.4-6</w:t>
            </w:r>
          </w:p>
        </w:tc>
        <w:tc>
          <w:tcPr>
            <w:tcW w:w="993" w:type="dxa"/>
            <w:vAlign w:val="center"/>
          </w:tcPr>
          <w:p w14:paraId="0F20F8C6">
            <w:pPr>
              <w:jc w:val="center"/>
              <w:rPr>
                <w:rFonts w:ascii="仿宋_GB2312" w:eastAsia="仿宋_GB2312"/>
              </w:rPr>
            </w:pPr>
            <w:r>
              <w:rPr>
                <w:rFonts w:hint="eastAsia" w:ascii="仿宋_GB2312" w:hAnsi="黑体" w:eastAsia="仿宋_GB2312" w:cs="黑体"/>
                <w:color w:val="000000"/>
                <w:sz w:val="18"/>
                <w:szCs w:val="18"/>
              </w:rPr>
              <w:t>4.8-5.3</w:t>
            </w:r>
          </w:p>
        </w:tc>
        <w:tc>
          <w:tcPr>
            <w:tcW w:w="992" w:type="dxa"/>
            <w:gridSpan w:val="2"/>
            <w:vAlign w:val="center"/>
          </w:tcPr>
          <w:p w14:paraId="76739FB0">
            <w:pPr>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4.2-4.7</w:t>
            </w:r>
          </w:p>
        </w:tc>
        <w:tc>
          <w:tcPr>
            <w:tcW w:w="992" w:type="dxa"/>
            <w:gridSpan w:val="2"/>
            <w:vAlign w:val="center"/>
          </w:tcPr>
          <w:p w14:paraId="2B988B7A">
            <w:pPr>
              <w:jc w:val="center"/>
              <w:rPr>
                <w:rFonts w:ascii="仿宋_GB2312" w:eastAsia="仿宋_GB2312"/>
              </w:rPr>
            </w:pPr>
            <w:r>
              <w:rPr>
                <w:rFonts w:hint="eastAsia" w:ascii="仿宋_GB2312" w:hAnsi="黑体" w:eastAsia="仿宋_GB2312" w:cs="黑体"/>
                <w:color w:val="000000"/>
                <w:sz w:val="18"/>
                <w:szCs w:val="18"/>
              </w:rPr>
              <w:t>3.6-4.1</w:t>
            </w:r>
          </w:p>
        </w:tc>
        <w:tc>
          <w:tcPr>
            <w:tcW w:w="992" w:type="dxa"/>
            <w:vAlign w:val="center"/>
          </w:tcPr>
          <w:p w14:paraId="1E55B68F">
            <w:pPr>
              <w:jc w:val="center"/>
              <w:rPr>
                <w:rFonts w:ascii="仿宋_GB2312" w:hAnsi="黑体" w:eastAsia="仿宋_GB2312" w:cs="黑体"/>
                <w:color w:val="000000"/>
                <w:sz w:val="18"/>
                <w:szCs w:val="18"/>
              </w:rPr>
            </w:pPr>
            <w:r>
              <w:rPr>
                <w:rFonts w:hint="eastAsia" w:ascii="微软雅黑" w:hAnsi="微软雅黑" w:eastAsia="微软雅黑" w:cs="微软雅黑"/>
                <w:color w:val="000000"/>
                <w:sz w:val="18"/>
                <w:szCs w:val="18"/>
              </w:rPr>
              <w:t>&lt;</w:t>
            </w:r>
            <w:r>
              <w:rPr>
                <w:rFonts w:hint="eastAsia" w:ascii="仿宋_GB2312" w:hAnsi="黑体" w:eastAsia="仿宋_GB2312" w:cs="黑体"/>
                <w:color w:val="000000"/>
                <w:sz w:val="18"/>
                <w:szCs w:val="18"/>
              </w:rPr>
              <w:t>3.6</w:t>
            </w:r>
          </w:p>
        </w:tc>
        <w:tc>
          <w:tcPr>
            <w:tcW w:w="897" w:type="dxa"/>
            <w:vAlign w:val="center"/>
          </w:tcPr>
          <w:p w14:paraId="3DA4595E">
            <w:pPr>
              <w:jc w:val="center"/>
              <w:rPr>
                <w:rFonts w:ascii="仿宋_GB2312" w:eastAsia="仿宋_GB2312"/>
              </w:rPr>
            </w:pPr>
          </w:p>
        </w:tc>
      </w:tr>
      <w:tr w14:paraId="77A0B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1242" w:type="dxa"/>
            <w:vAlign w:val="center"/>
          </w:tcPr>
          <w:p w14:paraId="17F1E7C6">
            <w:pPr>
              <w:widowControl/>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技术提升</w:t>
            </w:r>
          </w:p>
        </w:tc>
        <w:tc>
          <w:tcPr>
            <w:tcW w:w="1843" w:type="dxa"/>
            <w:gridSpan w:val="2"/>
            <w:vAlign w:val="center"/>
          </w:tcPr>
          <w:p w14:paraId="758D4FD2">
            <w:pPr>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通过技术引入、技术创新等服务工作提高生产科技水平</w:t>
            </w:r>
          </w:p>
        </w:tc>
        <w:tc>
          <w:tcPr>
            <w:tcW w:w="992" w:type="dxa"/>
            <w:vAlign w:val="center"/>
          </w:tcPr>
          <w:p w14:paraId="01D44DB3">
            <w:pPr>
              <w:jc w:val="center"/>
              <w:rPr>
                <w:rFonts w:ascii="仿宋_GB2312" w:eastAsia="仿宋_GB2312"/>
              </w:rPr>
            </w:pPr>
            <w:r>
              <w:rPr>
                <w:rFonts w:hint="eastAsia" w:ascii="仿宋_GB2312" w:hAnsi="黑体" w:eastAsia="仿宋_GB2312" w:cs="黑体"/>
                <w:color w:val="000000"/>
                <w:sz w:val="18"/>
                <w:szCs w:val="18"/>
              </w:rPr>
              <w:t>5.4-6</w:t>
            </w:r>
          </w:p>
        </w:tc>
        <w:tc>
          <w:tcPr>
            <w:tcW w:w="993" w:type="dxa"/>
            <w:vAlign w:val="center"/>
          </w:tcPr>
          <w:p w14:paraId="123F975E">
            <w:pPr>
              <w:jc w:val="center"/>
              <w:rPr>
                <w:rFonts w:ascii="仿宋_GB2312" w:eastAsia="仿宋_GB2312"/>
              </w:rPr>
            </w:pPr>
            <w:r>
              <w:rPr>
                <w:rFonts w:hint="eastAsia" w:ascii="仿宋_GB2312" w:hAnsi="黑体" w:eastAsia="仿宋_GB2312" w:cs="黑体"/>
                <w:color w:val="000000"/>
                <w:sz w:val="18"/>
                <w:szCs w:val="18"/>
              </w:rPr>
              <w:t>4.8-5.3</w:t>
            </w:r>
          </w:p>
        </w:tc>
        <w:tc>
          <w:tcPr>
            <w:tcW w:w="992" w:type="dxa"/>
            <w:gridSpan w:val="2"/>
            <w:vAlign w:val="center"/>
          </w:tcPr>
          <w:p w14:paraId="62563125">
            <w:pPr>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4.2-4.7</w:t>
            </w:r>
          </w:p>
        </w:tc>
        <w:tc>
          <w:tcPr>
            <w:tcW w:w="992" w:type="dxa"/>
            <w:gridSpan w:val="2"/>
            <w:vAlign w:val="center"/>
          </w:tcPr>
          <w:p w14:paraId="18BFE676">
            <w:pPr>
              <w:jc w:val="center"/>
              <w:rPr>
                <w:rFonts w:ascii="仿宋_GB2312" w:eastAsia="仿宋_GB2312"/>
              </w:rPr>
            </w:pPr>
            <w:r>
              <w:rPr>
                <w:rFonts w:hint="eastAsia" w:ascii="仿宋_GB2312" w:hAnsi="黑体" w:eastAsia="仿宋_GB2312" w:cs="黑体"/>
                <w:color w:val="000000"/>
                <w:sz w:val="18"/>
                <w:szCs w:val="18"/>
              </w:rPr>
              <w:t>3.6-4.1</w:t>
            </w:r>
          </w:p>
        </w:tc>
        <w:tc>
          <w:tcPr>
            <w:tcW w:w="992" w:type="dxa"/>
            <w:vAlign w:val="center"/>
          </w:tcPr>
          <w:p w14:paraId="00EC05D3">
            <w:pPr>
              <w:jc w:val="center"/>
              <w:rPr>
                <w:rFonts w:ascii="仿宋_GB2312" w:hAnsi="黑体" w:eastAsia="仿宋_GB2312" w:cs="黑体"/>
                <w:color w:val="000000"/>
                <w:sz w:val="18"/>
                <w:szCs w:val="18"/>
              </w:rPr>
            </w:pPr>
            <w:r>
              <w:rPr>
                <w:rFonts w:hint="eastAsia" w:ascii="微软雅黑" w:hAnsi="微软雅黑" w:eastAsia="微软雅黑" w:cs="微软雅黑"/>
                <w:color w:val="000000"/>
                <w:sz w:val="18"/>
                <w:szCs w:val="18"/>
              </w:rPr>
              <w:t>&lt;</w:t>
            </w:r>
            <w:r>
              <w:rPr>
                <w:rFonts w:hint="eastAsia" w:ascii="仿宋_GB2312" w:hAnsi="黑体" w:eastAsia="仿宋_GB2312" w:cs="黑体"/>
                <w:color w:val="000000"/>
                <w:sz w:val="18"/>
                <w:szCs w:val="18"/>
              </w:rPr>
              <w:t>3.6</w:t>
            </w:r>
          </w:p>
        </w:tc>
        <w:tc>
          <w:tcPr>
            <w:tcW w:w="897" w:type="dxa"/>
            <w:vAlign w:val="center"/>
          </w:tcPr>
          <w:p w14:paraId="765AA43F">
            <w:pPr>
              <w:jc w:val="center"/>
              <w:rPr>
                <w:rFonts w:ascii="仿宋_GB2312" w:eastAsia="仿宋_GB2312"/>
              </w:rPr>
            </w:pPr>
          </w:p>
        </w:tc>
      </w:tr>
      <w:tr w14:paraId="18C8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242" w:type="dxa"/>
            <w:vAlign w:val="center"/>
          </w:tcPr>
          <w:p w14:paraId="0E8DFC14">
            <w:pPr>
              <w:widowControl/>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经济效益</w:t>
            </w:r>
          </w:p>
        </w:tc>
        <w:tc>
          <w:tcPr>
            <w:tcW w:w="1843" w:type="dxa"/>
            <w:gridSpan w:val="2"/>
            <w:vAlign w:val="center"/>
          </w:tcPr>
          <w:p w14:paraId="4F5C9D0B">
            <w:pPr>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提高服务对象生产经营经济效益（产值、利润等）</w:t>
            </w:r>
          </w:p>
        </w:tc>
        <w:tc>
          <w:tcPr>
            <w:tcW w:w="992" w:type="dxa"/>
            <w:vAlign w:val="center"/>
          </w:tcPr>
          <w:p w14:paraId="68D31E27">
            <w:pPr>
              <w:jc w:val="center"/>
              <w:rPr>
                <w:rFonts w:ascii="仿宋_GB2312" w:eastAsia="仿宋_GB2312"/>
              </w:rPr>
            </w:pPr>
            <w:r>
              <w:rPr>
                <w:rFonts w:hint="eastAsia" w:ascii="仿宋_GB2312" w:hAnsi="黑体" w:eastAsia="仿宋_GB2312" w:cs="黑体"/>
                <w:color w:val="000000"/>
                <w:sz w:val="18"/>
                <w:szCs w:val="18"/>
              </w:rPr>
              <w:t>5.4-6</w:t>
            </w:r>
          </w:p>
        </w:tc>
        <w:tc>
          <w:tcPr>
            <w:tcW w:w="993" w:type="dxa"/>
            <w:vAlign w:val="center"/>
          </w:tcPr>
          <w:p w14:paraId="0819A5AA">
            <w:pPr>
              <w:jc w:val="center"/>
              <w:rPr>
                <w:rFonts w:ascii="仿宋_GB2312" w:eastAsia="仿宋_GB2312"/>
              </w:rPr>
            </w:pPr>
            <w:r>
              <w:rPr>
                <w:rFonts w:hint="eastAsia" w:ascii="仿宋_GB2312" w:hAnsi="黑体" w:eastAsia="仿宋_GB2312" w:cs="黑体"/>
                <w:color w:val="000000"/>
                <w:sz w:val="18"/>
                <w:szCs w:val="18"/>
              </w:rPr>
              <w:t>4.8-5.3</w:t>
            </w:r>
          </w:p>
        </w:tc>
        <w:tc>
          <w:tcPr>
            <w:tcW w:w="992" w:type="dxa"/>
            <w:gridSpan w:val="2"/>
            <w:vAlign w:val="center"/>
          </w:tcPr>
          <w:p w14:paraId="224FBF8A">
            <w:pPr>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4.2-4.7</w:t>
            </w:r>
          </w:p>
        </w:tc>
        <w:tc>
          <w:tcPr>
            <w:tcW w:w="992" w:type="dxa"/>
            <w:gridSpan w:val="2"/>
            <w:vAlign w:val="center"/>
          </w:tcPr>
          <w:p w14:paraId="01D1EE18">
            <w:pPr>
              <w:jc w:val="center"/>
              <w:rPr>
                <w:rFonts w:ascii="仿宋_GB2312" w:eastAsia="仿宋_GB2312"/>
              </w:rPr>
            </w:pPr>
            <w:r>
              <w:rPr>
                <w:rFonts w:hint="eastAsia" w:ascii="仿宋_GB2312" w:hAnsi="黑体" w:eastAsia="仿宋_GB2312" w:cs="黑体"/>
                <w:color w:val="000000"/>
                <w:sz w:val="18"/>
                <w:szCs w:val="18"/>
              </w:rPr>
              <w:t>3.6-4.1</w:t>
            </w:r>
          </w:p>
        </w:tc>
        <w:tc>
          <w:tcPr>
            <w:tcW w:w="992" w:type="dxa"/>
            <w:vAlign w:val="center"/>
          </w:tcPr>
          <w:p w14:paraId="44764769">
            <w:pPr>
              <w:jc w:val="center"/>
              <w:rPr>
                <w:rFonts w:ascii="仿宋_GB2312" w:hAnsi="黑体" w:eastAsia="仿宋_GB2312" w:cs="黑体"/>
                <w:color w:val="000000"/>
                <w:sz w:val="18"/>
                <w:szCs w:val="18"/>
              </w:rPr>
            </w:pPr>
            <w:r>
              <w:rPr>
                <w:rFonts w:hint="eastAsia" w:ascii="微软雅黑" w:hAnsi="微软雅黑" w:eastAsia="微软雅黑" w:cs="微软雅黑"/>
                <w:color w:val="000000"/>
                <w:sz w:val="18"/>
                <w:szCs w:val="18"/>
              </w:rPr>
              <w:t>&lt;</w:t>
            </w:r>
            <w:r>
              <w:rPr>
                <w:rFonts w:hint="eastAsia" w:ascii="仿宋_GB2312" w:hAnsi="黑体" w:eastAsia="仿宋_GB2312" w:cs="黑体"/>
                <w:color w:val="000000"/>
                <w:sz w:val="18"/>
                <w:szCs w:val="18"/>
              </w:rPr>
              <w:t>3.6</w:t>
            </w:r>
          </w:p>
        </w:tc>
        <w:tc>
          <w:tcPr>
            <w:tcW w:w="897" w:type="dxa"/>
            <w:vAlign w:val="center"/>
          </w:tcPr>
          <w:p w14:paraId="3B1D7AA7">
            <w:pPr>
              <w:jc w:val="center"/>
              <w:rPr>
                <w:rFonts w:ascii="仿宋_GB2312" w:eastAsia="仿宋_GB2312"/>
              </w:rPr>
            </w:pPr>
          </w:p>
        </w:tc>
      </w:tr>
      <w:tr w14:paraId="7728E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1242" w:type="dxa"/>
            <w:vAlign w:val="center"/>
          </w:tcPr>
          <w:p w14:paraId="10EE4DF8">
            <w:pPr>
              <w:widowControl/>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社会效益</w:t>
            </w:r>
          </w:p>
        </w:tc>
        <w:tc>
          <w:tcPr>
            <w:tcW w:w="1843" w:type="dxa"/>
            <w:gridSpan w:val="2"/>
            <w:vAlign w:val="center"/>
          </w:tcPr>
          <w:p w14:paraId="479E74ED">
            <w:pPr>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品牌建设，提高知名度，示范带动就业与地方致富</w:t>
            </w:r>
          </w:p>
        </w:tc>
        <w:tc>
          <w:tcPr>
            <w:tcW w:w="992" w:type="dxa"/>
            <w:vAlign w:val="center"/>
          </w:tcPr>
          <w:p w14:paraId="74218548">
            <w:pPr>
              <w:jc w:val="center"/>
              <w:rPr>
                <w:rFonts w:ascii="仿宋_GB2312" w:eastAsia="仿宋_GB2312"/>
              </w:rPr>
            </w:pPr>
            <w:r>
              <w:rPr>
                <w:rFonts w:hint="eastAsia" w:ascii="仿宋_GB2312" w:hAnsi="黑体" w:eastAsia="仿宋_GB2312" w:cs="黑体"/>
                <w:color w:val="000000"/>
                <w:sz w:val="18"/>
                <w:szCs w:val="18"/>
              </w:rPr>
              <w:t>5.4-6</w:t>
            </w:r>
          </w:p>
        </w:tc>
        <w:tc>
          <w:tcPr>
            <w:tcW w:w="993" w:type="dxa"/>
            <w:vAlign w:val="center"/>
          </w:tcPr>
          <w:p w14:paraId="730FE3A7">
            <w:pPr>
              <w:jc w:val="center"/>
              <w:rPr>
                <w:rFonts w:ascii="仿宋_GB2312" w:eastAsia="仿宋_GB2312"/>
              </w:rPr>
            </w:pPr>
            <w:r>
              <w:rPr>
                <w:rFonts w:hint="eastAsia" w:ascii="仿宋_GB2312" w:hAnsi="黑体" w:eastAsia="仿宋_GB2312" w:cs="黑体"/>
                <w:color w:val="000000"/>
                <w:sz w:val="18"/>
                <w:szCs w:val="18"/>
              </w:rPr>
              <w:t>4.8-5.3</w:t>
            </w:r>
          </w:p>
        </w:tc>
        <w:tc>
          <w:tcPr>
            <w:tcW w:w="992" w:type="dxa"/>
            <w:gridSpan w:val="2"/>
            <w:vAlign w:val="center"/>
          </w:tcPr>
          <w:p w14:paraId="16F181F2">
            <w:pPr>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4.2-4.7</w:t>
            </w:r>
          </w:p>
        </w:tc>
        <w:tc>
          <w:tcPr>
            <w:tcW w:w="992" w:type="dxa"/>
            <w:gridSpan w:val="2"/>
            <w:vAlign w:val="center"/>
          </w:tcPr>
          <w:p w14:paraId="74745B07">
            <w:pPr>
              <w:jc w:val="center"/>
              <w:rPr>
                <w:rFonts w:ascii="仿宋_GB2312" w:eastAsia="仿宋_GB2312"/>
              </w:rPr>
            </w:pPr>
            <w:r>
              <w:rPr>
                <w:rFonts w:hint="eastAsia" w:ascii="仿宋_GB2312" w:hAnsi="黑体" w:eastAsia="仿宋_GB2312" w:cs="黑体"/>
                <w:color w:val="000000"/>
                <w:sz w:val="18"/>
                <w:szCs w:val="18"/>
              </w:rPr>
              <w:t>3.6-4.1</w:t>
            </w:r>
          </w:p>
        </w:tc>
        <w:tc>
          <w:tcPr>
            <w:tcW w:w="992" w:type="dxa"/>
            <w:vAlign w:val="center"/>
          </w:tcPr>
          <w:p w14:paraId="4FBAC6BC">
            <w:pPr>
              <w:jc w:val="center"/>
              <w:rPr>
                <w:rFonts w:ascii="仿宋_GB2312" w:hAnsi="黑体" w:eastAsia="仿宋_GB2312" w:cs="黑体"/>
                <w:color w:val="000000"/>
                <w:sz w:val="18"/>
                <w:szCs w:val="18"/>
              </w:rPr>
            </w:pPr>
            <w:r>
              <w:rPr>
                <w:rFonts w:hint="eastAsia" w:ascii="微软雅黑" w:hAnsi="微软雅黑" w:eastAsia="微软雅黑" w:cs="微软雅黑"/>
                <w:color w:val="000000"/>
                <w:sz w:val="18"/>
                <w:szCs w:val="18"/>
              </w:rPr>
              <w:t>&lt;</w:t>
            </w:r>
            <w:r>
              <w:rPr>
                <w:rFonts w:hint="eastAsia" w:ascii="仿宋_GB2312" w:hAnsi="黑体" w:eastAsia="仿宋_GB2312" w:cs="黑体"/>
                <w:color w:val="000000"/>
                <w:sz w:val="18"/>
                <w:szCs w:val="18"/>
              </w:rPr>
              <w:t>3.6</w:t>
            </w:r>
          </w:p>
        </w:tc>
        <w:tc>
          <w:tcPr>
            <w:tcW w:w="897" w:type="dxa"/>
            <w:vAlign w:val="center"/>
          </w:tcPr>
          <w:p w14:paraId="5DAB003F">
            <w:pPr>
              <w:jc w:val="center"/>
              <w:rPr>
                <w:rFonts w:ascii="仿宋_GB2312" w:eastAsia="仿宋_GB2312"/>
              </w:rPr>
            </w:pPr>
          </w:p>
        </w:tc>
      </w:tr>
      <w:tr w14:paraId="55150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4077" w:type="dxa"/>
            <w:gridSpan w:val="4"/>
            <w:vAlign w:val="center"/>
          </w:tcPr>
          <w:p w14:paraId="439C0B6F">
            <w:pPr>
              <w:jc w:val="center"/>
              <w:rPr>
                <w:rFonts w:ascii="仿宋_GB2312" w:hAnsi="宋体" w:eastAsia="仿宋_GB2312"/>
                <w:szCs w:val="21"/>
              </w:rPr>
            </w:pPr>
            <w:r>
              <w:rPr>
                <w:rFonts w:hint="eastAsia" w:ascii="仿宋_GB2312" w:hAnsi="宋体" w:eastAsia="仿宋_GB2312"/>
                <w:b/>
                <w:bCs/>
                <w:sz w:val="28"/>
                <w:szCs w:val="28"/>
              </w:rPr>
              <w:t>合计分值</w:t>
            </w:r>
          </w:p>
        </w:tc>
        <w:tc>
          <w:tcPr>
            <w:tcW w:w="3969" w:type="dxa"/>
            <w:gridSpan w:val="6"/>
            <w:vAlign w:val="center"/>
          </w:tcPr>
          <w:p w14:paraId="039067E4">
            <w:pPr>
              <w:spacing w:line="240" w:lineRule="exact"/>
              <w:jc w:val="center"/>
              <w:rPr>
                <w:rFonts w:ascii="仿宋_GB2312" w:hAnsi="宋体" w:eastAsia="仿宋_GB2312"/>
                <w:sz w:val="18"/>
                <w:szCs w:val="18"/>
              </w:rPr>
            </w:pPr>
            <w:r>
              <w:rPr>
                <w:rFonts w:hint="eastAsia" w:ascii="仿宋_GB2312" w:hAnsi="宋体" w:eastAsia="仿宋_GB2312"/>
                <w:sz w:val="18"/>
                <w:szCs w:val="18"/>
              </w:rPr>
              <w:t>①优：</w:t>
            </w:r>
            <w:r>
              <w:rPr>
                <w:rFonts w:ascii="仿宋_GB2312" w:hAnsi="宋体" w:eastAsia="仿宋_GB2312"/>
                <w:sz w:val="18"/>
                <w:szCs w:val="18"/>
              </w:rPr>
              <w:t>27-30分；</w:t>
            </w:r>
          </w:p>
          <w:p w14:paraId="760F6139">
            <w:pPr>
              <w:spacing w:line="240" w:lineRule="exact"/>
              <w:jc w:val="center"/>
              <w:rPr>
                <w:rFonts w:ascii="仿宋_GB2312" w:hAnsi="宋体" w:eastAsia="仿宋_GB2312"/>
                <w:sz w:val="18"/>
                <w:szCs w:val="18"/>
              </w:rPr>
            </w:pPr>
            <w:r>
              <w:rPr>
                <w:rFonts w:hint="eastAsia" w:ascii="仿宋_GB2312" w:hAnsi="宋体" w:eastAsia="仿宋_GB2312"/>
                <w:sz w:val="18"/>
                <w:szCs w:val="18"/>
              </w:rPr>
              <w:t>②良：</w:t>
            </w:r>
            <w:r>
              <w:rPr>
                <w:rFonts w:ascii="仿宋_GB2312" w:hAnsi="宋体" w:eastAsia="仿宋_GB2312"/>
                <w:sz w:val="18"/>
                <w:szCs w:val="18"/>
              </w:rPr>
              <w:t>24-26分；</w:t>
            </w:r>
          </w:p>
          <w:p w14:paraId="4E24656F">
            <w:pPr>
              <w:spacing w:line="240" w:lineRule="exact"/>
              <w:jc w:val="center"/>
              <w:rPr>
                <w:rFonts w:ascii="仿宋_GB2312" w:hAnsi="宋体" w:eastAsia="仿宋_GB2312"/>
                <w:sz w:val="18"/>
                <w:szCs w:val="18"/>
              </w:rPr>
            </w:pPr>
            <w:r>
              <w:rPr>
                <w:rFonts w:hint="eastAsia" w:ascii="仿宋_GB2312" w:hAnsi="宋体" w:eastAsia="仿宋_GB2312"/>
                <w:sz w:val="18"/>
                <w:szCs w:val="18"/>
              </w:rPr>
              <w:t>③中：</w:t>
            </w:r>
            <w:r>
              <w:rPr>
                <w:rFonts w:ascii="仿宋_GB2312" w:hAnsi="宋体" w:eastAsia="仿宋_GB2312"/>
                <w:sz w:val="18"/>
                <w:szCs w:val="18"/>
              </w:rPr>
              <w:t>21-23分；</w:t>
            </w:r>
          </w:p>
          <w:p w14:paraId="380E2E4A">
            <w:pPr>
              <w:spacing w:line="240" w:lineRule="exact"/>
              <w:jc w:val="center"/>
              <w:rPr>
                <w:rFonts w:ascii="仿宋_GB2312" w:hAnsi="宋体" w:eastAsia="仿宋_GB2312"/>
                <w:sz w:val="18"/>
                <w:szCs w:val="18"/>
              </w:rPr>
            </w:pPr>
            <w:r>
              <w:rPr>
                <w:rFonts w:hint="eastAsia" w:ascii="仿宋_GB2312" w:hAnsi="宋体" w:eastAsia="仿宋_GB2312"/>
                <w:sz w:val="18"/>
                <w:szCs w:val="18"/>
              </w:rPr>
              <w:t>④合格：</w:t>
            </w:r>
            <w:r>
              <w:rPr>
                <w:rFonts w:ascii="仿宋_GB2312" w:hAnsi="宋体" w:eastAsia="仿宋_GB2312"/>
                <w:sz w:val="18"/>
                <w:szCs w:val="18"/>
              </w:rPr>
              <w:t>18-20分；</w:t>
            </w:r>
          </w:p>
          <w:p w14:paraId="4ACCCC97">
            <w:pPr>
              <w:spacing w:line="240" w:lineRule="exact"/>
              <w:jc w:val="center"/>
              <w:rPr>
                <w:rFonts w:ascii="仿宋_GB2312" w:hAnsi="宋体" w:eastAsia="仿宋_GB2312"/>
                <w:szCs w:val="21"/>
              </w:rPr>
            </w:pPr>
            <w:r>
              <w:rPr>
                <w:rFonts w:hint="eastAsia" w:ascii="仿宋_GB2312" w:hAnsi="宋体" w:eastAsia="仿宋_GB2312"/>
                <w:sz w:val="18"/>
                <w:szCs w:val="18"/>
              </w:rPr>
              <w:t>⑤不合格：小于18分。</w:t>
            </w:r>
          </w:p>
        </w:tc>
        <w:tc>
          <w:tcPr>
            <w:tcW w:w="897" w:type="dxa"/>
            <w:vAlign w:val="center"/>
          </w:tcPr>
          <w:p w14:paraId="144F2478">
            <w:pPr>
              <w:jc w:val="center"/>
              <w:rPr>
                <w:rFonts w:ascii="仿宋_GB2312" w:eastAsia="仿宋_GB2312"/>
              </w:rPr>
            </w:pPr>
          </w:p>
        </w:tc>
      </w:tr>
      <w:tr w14:paraId="2D389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42" w:type="dxa"/>
            <w:vAlign w:val="center"/>
          </w:tcPr>
          <w:p w14:paraId="28D231E0">
            <w:pPr>
              <w:jc w:val="center"/>
              <w:rPr>
                <w:rFonts w:ascii="仿宋_GB2312" w:hAnsi="宋体" w:eastAsia="仿宋_GB2312"/>
                <w:szCs w:val="21"/>
              </w:rPr>
            </w:pPr>
            <w:r>
              <w:rPr>
                <w:rFonts w:hint="eastAsia" w:ascii="仿宋_GB2312" w:hAnsi="宋体" w:eastAsia="仿宋_GB2312"/>
                <w:szCs w:val="21"/>
              </w:rPr>
              <w:t>评价说明（综合阐述科技特派员开展服务工作及服务成效情况）</w:t>
            </w:r>
          </w:p>
        </w:tc>
        <w:tc>
          <w:tcPr>
            <w:tcW w:w="7701" w:type="dxa"/>
            <w:gridSpan w:val="10"/>
            <w:vAlign w:val="center"/>
          </w:tcPr>
          <w:p w14:paraId="10CFBD55">
            <w:pPr>
              <w:jc w:val="center"/>
              <w:rPr>
                <w:rFonts w:ascii="仿宋_GB2312" w:eastAsia="仿宋_GB2312"/>
              </w:rPr>
            </w:pPr>
          </w:p>
        </w:tc>
      </w:tr>
      <w:tr w14:paraId="0BD06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42" w:type="dxa"/>
            <w:vAlign w:val="center"/>
          </w:tcPr>
          <w:p w14:paraId="047429E3">
            <w:pPr>
              <w:jc w:val="center"/>
              <w:rPr>
                <w:rFonts w:ascii="仿宋_GB2312" w:hAnsi="宋体" w:eastAsia="仿宋_GB2312"/>
                <w:szCs w:val="21"/>
              </w:rPr>
            </w:pPr>
            <w:r>
              <w:rPr>
                <w:rFonts w:hint="eastAsia" w:ascii="仿宋_GB2312" w:hAnsi="宋体" w:eastAsia="仿宋_GB2312"/>
                <w:szCs w:val="21"/>
              </w:rPr>
              <w:t>服务对象意见</w:t>
            </w:r>
          </w:p>
        </w:tc>
        <w:tc>
          <w:tcPr>
            <w:tcW w:w="7701" w:type="dxa"/>
            <w:gridSpan w:val="10"/>
            <w:vAlign w:val="center"/>
          </w:tcPr>
          <w:p w14:paraId="18697F6E">
            <w:pPr>
              <w:spacing w:line="560" w:lineRule="exact"/>
              <w:jc w:val="center"/>
              <w:rPr>
                <w:rFonts w:ascii="仿宋_GB2312" w:hAnsi="宋体" w:eastAsia="仿宋_GB2312"/>
                <w:szCs w:val="21"/>
              </w:rPr>
            </w:pPr>
            <w:r>
              <w:rPr>
                <w:rFonts w:hint="eastAsia" w:ascii="仿宋_GB2312" w:hAnsi="宋体" w:eastAsia="仿宋_GB2312"/>
                <w:szCs w:val="21"/>
              </w:rPr>
              <w:t>本单位承诺上述评价为根据科技特派员实际开展工作情况做出的客观评价。</w:t>
            </w:r>
          </w:p>
          <w:p w14:paraId="4C59261E">
            <w:pPr>
              <w:spacing w:line="560" w:lineRule="exact"/>
              <w:jc w:val="center"/>
              <w:rPr>
                <w:rFonts w:ascii="仿宋_GB2312" w:hAnsi="宋体" w:eastAsia="仿宋_GB2312"/>
                <w:szCs w:val="21"/>
              </w:rPr>
            </w:pPr>
          </w:p>
          <w:p w14:paraId="16BA57E6">
            <w:pPr>
              <w:jc w:val="center"/>
              <w:rPr>
                <w:rFonts w:ascii="仿宋_GB2312" w:eastAsia="仿宋_GB2312"/>
              </w:rPr>
            </w:pPr>
            <w:r>
              <w:rPr>
                <w:rFonts w:hint="eastAsia" w:ascii="仿宋_GB2312" w:hAnsi="宋体" w:eastAsia="仿宋_GB2312"/>
                <w:szCs w:val="21"/>
              </w:rPr>
              <w:t>（单位盖章）：                           年    月    日</w:t>
            </w:r>
          </w:p>
        </w:tc>
      </w:tr>
    </w:tbl>
    <w:p w14:paraId="503231C8">
      <w:pPr>
        <w:rPr>
          <w:rFonts w:ascii="楷体_GB2312" w:eastAsia="楷体_GB2312"/>
        </w:rPr>
        <w:sectPr>
          <w:footerReference r:id="rId9" w:type="first"/>
          <w:footerReference r:id="rId8" w:type="default"/>
          <w:pgSz w:w="11906" w:h="16838"/>
          <w:pgMar w:top="1134" w:right="1588" w:bottom="1134" w:left="1588" w:header="851" w:footer="1134" w:gutter="0"/>
          <w:pgNumType w:fmt="numberInDash"/>
          <w:cols w:space="720" w:num="1"/>
          <w:titlePg/>
          <w:docGrid w:type="lines" w:linePitch="312" w:charSpace="0"/>
        </w:sectPr>
      </w:pPr>
      <w:r>
        <w:rPr>
          <w:rFonts w:hint="eastAsia" w:ascii="楷体_GB2312" w:eastAsia="楷体_GB2312"/>
        </w:rPr>
        <w:t>备注：合计分值应与福建省科技特派员服务云平台评价分值一致。</w:t>
      </w:r>
    </w:p>
    <w:p w14:paraId="6C12F486">
      <w:pPr>
        <w:autoSpaceDN w:val="0"/>
        <w:spacing w:line="560" w:lineRule="exact"/>
        <w:rPr>
          <w:rFonts w:hint="eastAsia" w:eastAsia="黑体"/>
          <w:sz w:val="36"/>
          <w:szCs w:val="36"/>
        </w:rPr>
      </w:pPr>
      <w:r>
        <w:rPr>
          <w:rFonts w:hint="eastAsia" w:eastAsia="黑体"/>
          <w:sz w:val="36"/>
          <w:szCs w:val="36"/>
        </w:rPr>
        <w:t>附件4</w:t>
      </w:r>
    </w:p>
    <w:p w14:paraId="069A97C1">
      <w:pPr>
        <w:autoSpaceDN w:val="0"/>
        <w:spacing w:line="560" w:lineRule="exact"/>
        <w:jc w:val="center"/>
        <w:rPr>
          <w:rFonts w:hAnsi="黑体" w:eastAsia="黑体"/>
          <w:sz w:val="36"/>
          <w:szCs w:val="36"/>
        </w:rPr>
      </w:pPr>
      <w:r>
        <w:rPr>
          <w:rFonts w:hint="eastAsia" w:eastAsia="黑体"/>
          <w:sz w:val="36"/>
          <w:szCs w:val="36"/>
        </w:rPr>
        <w:t>福建省科技特派员</w:t>
      </w:r>
      <w:r>
        <w:rPr>
          <w:rFonts w:hint="eastAsia" w:hAnsi="黑体" w:eastAsia="黑体"/>
          <w:sz w:val="36"/>
          <w:szCs w:val="36"/>
        </w:rPr>
        <w:t>服务成效评价表</w:t>
      </w:r>
    </w:p>
    <w:p w14:paraId="4B5590D8">
      <w:pPr>
        <w:autoSpaceDN w:val="0"/>
        <w:jc w:val="center"/>
        <w:rPr>
          <w:rFonts w:ascii="楷体" w:hAnsi="楷体" w:eastAsia="楷体" w:cs="楷体"/>
        </w:rPr>
      </w:pPr>
      <w:r>
        <w:rPr>
          <w:rFonts w:hint="eastAsia" w:ascii="楷体" w:hAnsi="楷体" w:eastAsia="楷体" w:cs="楷体"/>
        </w:rPr>
        <w:t>[县（市、区）科技主管部门填写]</w:t>
      </w:r>
    </w:p>
    <w:p w14:paraId="2C2A057C">
      <w:pPr>
        <w:autoSpaceDN w:val="0"/>
        <w:jc w:val="left"/>
        <w:rPr>
          <w:rFonts w:hint="eastAsia" w:ascii="楷体" w:hAnsi="楷体" w:eastAsia="楷体" w:cs="楷体"/>
        </w:rPr>
      </w:pPr>
      <w:r>
        <w:rPr>
          <w:rFonts w:hint="eastAsia" w:ascii="楷体" w:hAnsi="楷体" w:eastAsia="楷体" w:cs="楷体"/>
        </w:rPr>
        <w:t>填表单位（盖章）：</w:t>
      </w:r>
    </w:p>
    <w:tbl>
      <w:tblPr>
        <w:tblStyle w:val="11"/>
        <w:tblW w:w="148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7"/>
        <w:gridCol w:w="902"/>
        <w:gridCol w:w="1395"/>
        <w:gridCol w:w="1453"/>
        <w:gridCol w:w="1910"/>
        <w:gridCol w:w="1604"/>
        <w:gridCol w:w="1938"/>
        <w:gridCol w:w="2139"/>
        <w:gridCol w:w="2355"/>
        <w:gridCol w:w="719"/>
      </w:tblGrid>
      <w:tr w14:paraId="0603D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477" w:type="dxa"/>
            <w:vMerge w:val="restart"/>
            <w:vAlign w:val="center"/>
          </w:tcPr>
          <w:p w14:paraId="33100C4C">
            <w:pPr>
              <w:widowControl/>
              <w:spacing w:after="120"/>
              <w:jc w:val="center"/>
              <w:rPr>
                <w:rFonts w:ascii="仿宋_GB2312" w:hAnsi="黑体" w:eastAsia="仿宋_GB2312"/>
                <w:b/>
                <w:bCs/>
                <w:szCs w:val="21"/>
              </w:rPr>
            </w:pPr>
            <w:r>
              <w:rPr>
                <w:rFonts w:hint="eastAsia" w:ascii="仿宋_GB2312" w:hAnsi="黑体" w:eastAsia="仿宋_GB2312"/>
                <w:b/>
                <w:bCs/>
                <w:szCs w:val="21"/>
              </w:rPr>
              <w:t>序号</w:t>
            </w:r>
          </w:p>
        </w:tc>
        <w:tc>
          <w:tcPr>
            <w:tcW w:w="902" w:type="dxa"/>
            <w:vMerge w:val="restart"/>
            <w:vAlign w:val="center"/>
          </w:tcPr>
          <w:p w14:paraId="572D3091">
            <w:pPr>
              <w:widowControl/>
              <w:spacing w:after="120"/>
              <w:jc w:val="center"/>
              <w:rPr>
                <w:rFonts w:ascii="仿宋_GB2312" w:hAnsi="黑体" w:eastAsia="仿宋_GB2312"/>
                <w:b/>
                <w:bCs/>
                <w:szCs w:val="21"/>
              </w:rPr>
            </w:pPr>
            <w:r>
              <w:rPr>
                <w:rFonts w:hint="eastAsia" w:ascii="仿宋_GB2312" w:hAnsi="黑体" w:eastAsia="仿宋_GB2312"/>
                <w:b/>
                <w:bCs/>
                <w:szCs w:val="21"/>
              </w:rPr>
              <w:t>姓名</w:t>
            </w:r>
          </w:p>
        </w:tc>
        <w:tc>
          <w:tcPr>
            <w:tcW w:w="1395" w:type="dxa"/>
            <w:vMerge w:val="restart"/>
            <w:vAlign w:val="center"/>
          </w:tcPr>
          <w:p w14:paraId="26586DED">
            <w:pPr>
              <w:widowControl/>
              <w:spacing w:after="120"/>
              <w:jc w:val="center"/>
              <w:rPr>
                <w:rFonts w:ascii="仿宋_GB2312" w:hAnsi="黑体" w:eastAsia="仿宋_GB2312"/>
                <w:b/>
                <w:bCs/>
                <w:szCs w:val="21"/>
              </w:rPr>
            </w:pPr>
            <w:r>
              <w:rPr>
                <w:rFonts w:hint="eastAsia" w:ascii="仿宋_GB2312" w:hAnsi="黑体" w:eastAsia="仿宋_GB2312"/>
                <w:b/>
                <w:bCs/>
                <w:szCs w:val="21"/>
              </w:rPr>
              <w:t>工作单位</w:t>
            </w:r>
          </w:p>
        </w:tc>
        <w:tc>
          <w:tcPr>
            <w:tcW w:w="1453" w:type="dxa"/>
            <w:vMerge w:val="restart"/>
            <w:vAlign w:val="center"/>
          </w:tcPr>
          <w:p w14:paraId="24F7C7EC">
            <w:pPr>
              <w:widowControl/>
              <w:spacing w:after="120"/>
              <w:jc w:val="center"/>
              <w:rPr>
                <w:rFonts w:ascii="仿宋_GB2312" w:hAnsi="黑体" w:eastAsia="仿宋_GB2312"/>
                <w:b/>
                <w:bCs/>
                <w:szCs w:val="21"/>
              </w:rPr>
            </w:pPr>
            <w:r>
              <w:rPr>
                <w:rFonts w:hint="eastAsia" w:ascii="仿宋_GB2312" w:hAnsi="黑体" w:eastAsia="仿宋_GB2312"/>
                <w:b/>
                <w:bCs/>
                <w:szCs w:val="21"/>
              </w:rPr>
              <w:t>服务单位</w:t>
            </w:r>
          </w:p>
        </w:tc>
        <w:tc>
          <w:tcPr>
            <w:tcW w:w="9946" w:type="dxa"/>
            <w:gridSpan w:val="5"/>
            <w:vAlign w:val="center"/>
          </w:tcPr>
          <w:p w14:paraId="29B44DC5">
            <w:pPr>
              <w:widowControl/>
              <w:spacing w:after="120"/>
              <w:jc w:val="center"/>
              <w:rPr>
                <w:rFonts w:ascii="仿宋_GB2312" w:hAnsi="黑体" w:eastAsia="仿宋_GB2312"/>
                <w:b/>
                <w:bCs/>
                <w:szCs w:val="21"/>
              </w:rPr>
            </w:pPr>
            <w:r>
              <w:rPr>
                <w:rFonts w:hint="eastAsia" w:ascii="仿宋_GB2312" w:hAnsi="黑体" w:eastAsia="仿宋_GB2312"/>
                <w:b/>
                <w:bCs/>
                <w:szCs w:val="21"/>
              </w:rPr>
              <w:t>考评分项（总分40分）</w:t>
            </w:r>
          </w:p>
        </w:tc>
        <w:tc>
          <w:tcPr>
            <w:tcW w:w="719" w:type="dxa"/>
            <w:vMerge w:val="restart"/>
            <w:vAlign w:val="center"/>
          </w:tcPr>
          <w:p w14:paraId="22BF1DB8">
            <w:pPr>
              <w:widowControl/>
              <w:spacing w:after="120"/>
              <w:jc w:val="center"/>
              <w:rPr>
                <w:rFonts w:ascii="仿宋_GB2312" w:hAnsi="黑体" w:eastAsia="仿宋_GB2312"/>
                <w:b/>
                <w:bCs/>
                <w:szCs w:val="21"/>
              </w:rPr>
            </w:pPr>
            <w:r>
              <w:rPr>
                <w:rFonts w:hint="eastAsia" w:ascii="仿宋_GB2312" w:hAnsi="黑体" w:eastAsia="仿宋_GB2312"/>
                <w:b/>
                <w:bCs/>
                <w:szCs w:val="21"/>
              </w:rPr>
              <w:t>合计分值</w:t>
            </w:r>
          </w:p>
        </w:tc>
      </w:tr>
      <w:tr w14:paraId="447E4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477" w:type="dxa"/>
            <w:vMerge w:val="continue"/>
            <w:vAlign w:val="center"/>
          </w:tcPr>
          <w:p w14:paraId="56B2203D">
            <w:pPr>
              <w:widowControl/>
              <w:spacing w:after="120"/>
              <w:jc w:val="center"/>
              <w:rPr>
                <w:rFonts w:ascii="仿宋_GB2312" w:hAnsi="黑体" w:eastAsia="仿宋_GB2312"/>
                <w:b/>
                <w:bCs/>
                <w:szCs w:val="21"/>
              </w:rPr>
            </w:pPr>
          </w:p>
        </w:tc>
        <w:tc>
          <w:tcPr>
            <w:tcW w:w="902" w:type="dxa"/>
            <w:vMerge w:val="continue"/>
            <w:vAlign w:val="center"/>
          </w:tcPr>
          <w:p w14:paraId="5E056500">
            <w:pPr>
              <w:widowControl/>
              <w:spacing w:after="120"/>
              <w:jc w:val="center"/>
              <w:rPr>
                <w:rFonts w:ascii="仿宋_GB2312" w:hAnsi="黑体" w:eastAsia="仿宋_GB2312"/>
                <w:b/>
                <w:bCs/>
                <w:szCs w:val="21"/>
              </w:rPr>
            </w:pPr>
          </w:p>
        </w:tc>
        <w:tc>
          <w:tcPr>
            <w:tcW w:w="1395" w:type="dxa"/>
            <w:vMerge w:val="continue"/>
            <w:vAlign w:val="center"/>
          </w:tcPr>
          <w:p w14:paraId="1D670000">
            <w:pPr>
              <w:widowControl/>
              <w:spacing w:after="120"/>
              <w:jc w:val="center"/>
              <w:rPr>
                <w:rFonts w:ascii="仿宋_GB2312" w:hAnsi="黑体" w:eastAsia="仿宋_GB2312"/>
                <w:b/>
                <w:bCs/>
                <w:szCs w:val="21"/>
              </w:rPr>
            </w:pPr>
          </w:p>
        </w:tc>
        <w:tc>
          <w:tcPr>
            <w:tcW w:w="1453" w:type="dxa"/>
            <w:vMerge w:val="continue"/>
            <w:vAlign w:val="center"/>
          </w:tcPr>
          <w:p w14:paraId="0C822878">
            <w:pPr>
              <w:widowControl/>
              <w:spacing w:after="120"/>
              <w:jc w:val="center"/>
              <w:rPr>
                <w:rFonts w:ascii="仿宋_GB2312" w:hAnsi="黑体" w:eastAsia="仿宋_GB2312"/>
                <w:b/>
                <w:bCs/>
                <w:szCs w:val="21"/>
              </w:rPr>
            </w:pPr>
          </w:p>
        </w:tc>
        <w:tc>
          <w:tcPr>
            <w:tcW w:w="1910" w:type="dxa"/>
          </w:tcPr>
          <w:p w14:paraId="5482CF23">
            <w:pPr>
              <w:widowControl/>
              <w:jc w:val="center"/>
              <w:rPr>
                <w:rFonts w:ascii="仿宋_GB2312" w:hAnsi="黑体" w:eastAsia="仿宋_GB2312"/>
                <w:b/>
                <w:bCs/>
                <w:szCs w:val="21"/>
              </w:rPr>
            </w:pPr>
            <w:r>
              <w:rPr>
                <w:rFonts w:hint="eastAsia" w:ascii="仿宋_GB2312" w:hAnsi="黑体" w:eastAsia="仿宋_GB2312"/>
                <w:b/>
                <w:bCs/>
                <w:szCs w:val="21"/>
                <w:lang w:val="en-US" w:eastAsia="zh-CN"/>
              </w:rPr>
              <w:t>服务态度、</w:t>
            </w:r>
            <w:r>
              <w:rPr>
                <w:rFonts w:hint="eastAsia" w:ascii="仿宋_GB2312" w:hAnsi="黑体" w:eastAsia="仿宋_GB2312"/>
                <w:b/>
                <w:bCs/>
                <w:szCs w:val="21"/>
              </w:rPr>
              <w:t>政策指导、科普宣传</w:t>
            </w:r>
          </w:p>
          <w:p w14:paraId="76C89BB2">
            <w:pPr>
              <w:widowControl/>
              <w:jc w:val="center"/>
              <w:rPr>
                <w:rFonts w:ascii="仿宋_GB2312" w:hAnsi="黑体" w:eastAsia="仿宋_GB2312"/>
                <w:b/>
                <w:bCs/>
                <w:szCs w:val="21"/>
              </w:rPr>
            </w:pPr>
            <w:r>
              <w:rPr>
                <w:rFonts w:hint="eastAsia" w:ascii="仿宋_GB2312" w:hAnsi="黑体" w:eastAsia="仿宋_GB2312"/>
                <w:b/>
                <w:bCs/>
                <w:szCs w:val="21"/>
              </w:rPr>
              <w:t>（0-8分）</w:t>
            </w:r>
          </w:p>
        </w:tc>
        <w:tc>
          <w:tcPr>
            <w:tcW w:w="1604" w:type="dxa"/>
          </w:tcPr>
          <w:p w14:paraId="638DE273">
            <w:pPr>
              <w:widowControl/>
              <w:jc w:val="center"/>
              <w:rPr>
                <w:rFonts w:ascii="仿宋_GB2312" w:hAnsi="黑体" w:eastAsia="仿宋_GB2312"/>
                <w:b/>
                <w:bCs/>
                <w:szCs w:val="21"/>
              </w:rPr>
            </w:pPr>
            <w:r>
              <w:rPr>
                <w:rFonts w:hint="eastAsia" w:ascii="仿宋_GB2312" w:hAnsi="黑体" w:eastAsia="仿宋_GB2312"/>
                <w:b/>
                <w:bCs/>
                <w:szCs w:val="21"/>
              </w:rPr>
              <w:t>技术引进、成果转化</w:t>
            </w:r>
          </w:p>
          <w:p w14:paraId="237D079D">
            <w:pPr>
              <w:widowControl/>
              <w:jc w:val="center"/>
              <w:rPr>
                <w:rFonts w:ascii="仿宋_GB2312" w:hAnsi="黑体" w:eastAsia="仿宋_GB2312"/>
                <w:b/>
                <w:bCs/>
                <w:szCs w:val="21"/>
              </w:rPr>
            </w:pPr>
            <w:r>
              <w:rPr>
                <w:rFonts w:hint="eastAsia" w:ascii="仿宋_GB2312" w:hAnsi="黑体" w:eastAsia="仿宋_GB2312"/>
                <w:b/>
                <w:bCs/>
                <w:szCs w:val="21"/>
              </w:rPr>
              <w:t>（0-8分）</w:t>
            </w:r>
          </w:p>
        </w:tc>
        <w:tc>
          <w:tcPr>
            <w:tcW w:w="1938" w:type="dxa"/>
          </w:tcPr>
          <w:p w14:paraId="04EF9E11">
            <w:pPr>
              <w:widowControl/>
              <w:jc w:val="center"/>
              <w:rPr>
                <w:rFonts w:ascii="仿宋_GB2312" w:hAnsi="黑体" w:eastAsia="仿宋_GB2312"/>
                <w:b/>
                <w:bCs/>
                <w:szCs w:val="21"/>
              </w:rPr>
            </w:pPr>
            <w:r>
              <w:rPr>
                <w:rFonts w:hint="eastAsia" w:ascii="仿宋_GB2312" w:hAnsi="黑体" w:eastAsia="仿宋_GB2312"/>
                <w:b/>
                <w:bCs/>
                <w:szCs w:val="21"/>
              </w:rPr>
              <w:t>技术开发、形成新成果</w:t>
            </w:r>
          </w:p>
          <w:p w14:paraId="128A3720">
            <w:pPr>
              <w:widowControl/>
              <w:jc w:val="center"/>
              <w:rPr>
                <w:rFonts w:ascii="仿宋_GB2312" w:hAnsi="黑体" w:eastAsia="仿宋_GB2312"/>
                <w:b/>
                <w:bCs/>
                <w:szCs w:val="21"/>
              </w:rPr>
            </w:pPr>
            <w:r>
              <w:rPr>
                <w:rFonts w:hint="eastAsia" w:ascii="仿宋_GB2312" w:hAnsi="黑体" w:eastAsia="仿宋_GB2312"/>
                <w:b/>
                <w:bCs/>
                <w:szCs w:val="21"/>
              </w:rPr>
              <w:t>（0-8分）</w:t>
            </w:r>
          </w:p>
        </w:tc>
        <w:tc>
          <w:tcPr>
            <w:tcW w:w="2139" w:type="dxa"/>
          </w:tcPr>
          <w:p w14:paraId="39E8154E">
            <w:pPr>
              <w:widowControl/>
              <w:jc w:val="center"/>
              <w:rPr>
                <w:rFonts w:ascii="仿宋_GB2312" w:hAnsi="黑体" w:eastAsia="仿宋_GB2312"/>
                <w:b/>
                <w:bCs/>
                <w:szCs w:val="21"/>
              </w:rPr>
            </w:pPr>
            <w:r>
              <w:rPr>
                <w:rFonts w:hint="eastAsia" w:ascii="仿宋_GB2312" w:hAnsi="黑体" w:eastAsia="仿宋_GB2312"/>
                <w:b/>
                <w:bCs/>
                <w:szCs w:val="21"/>
              </w:rPr>
              <w:t>技能培训、人才培养</w:t>
            </w:r>
          </w:p>
          <w:p w14:paraId="31DB0BD2">
            <w:pPr>
              <w:widowControl/>
              <w:jc w:val="center"/>
              <w:rPr>
                <w:rFonts w:ascii="仿宋_GB2312" w:hAnsi="黑体" w:eastAsia="仿宋_GB2312"/>
                <w:b/>
                <w:bCs/>
                <w:szCs w:val="21"/>
              </w:rPr>
            </w:pPr>
            <w:r>
              <w:rPr>
                <w:rFonts w:hint="eastAsia" w:ascii="仿宋_GB2312" w:hAnsi="黑体" w:eastAsia="仿宋_GB2312"/>
                <w:b/>
                <w:bCs/>
                <w:szCs w:val="21"/>
              </w:rPr>
              <w:t>（0-8分）</w:t>
            </w:r>
          </w:p>
        </w:tc>
        <w:tc>
          <w:tcPr>
            <w:tcW w:w="2355" w:type="dxa"/>
          </w:tcPr>
          <w:p w14:paraId="5165E491">
            <w:pPr>
              <w:widowControl/>
              <w:jc w:val="center"/>
              <w:rPr>
                <w:rFonts w:ascii="仿宋_GB2312" w:hAnsi="黑体" w:eastAsia="仿宋_GB2312"/>
                <w:b/>
                <w:bCs/>
                <w:szCs w:val="21"/>
              </w:rPr>
            </w:pPr>
            <w:r>
              <w:rPr>
                <w:rFonts w:hint="eastAsia" w:ascii="仿宋_GB2312" w:hAnsi="黑体" w:eastAsia="仿宋_GB2312"/>
                <w:b/>
                <w:bCs/>
                <w:szCs w:val="21"/>
              </w:rPr>
              <w:t>创新创业、经济社会效益</w:t>
            </w:r>
          </w:p>
          <w:p w14:paraId="719B0E61">
            <w:pPr>
              <w:widowControl/>
              <w:jc w:val="center"/>
              <w:rPr>
                <w:rFonts w:ascii="仿宋_GB2312" w:hAnsi="黑体" w:eastAsia="仿宋_GB2312"/>
                <w:b/>
                <w:bCs/>
                <w:szCs w:val="21"/>
              </w:rPr>
            </w:pPr>
            <w:r>
              <w:rPr>
                <w:rFonts w:hint="eastAsia" w:ascii="仿宋_GB2312" w:hAnsi="黑体" w:eastAsia="仿宋_GB2312"/>
                <w:b/>
                <w:bCs/>
                <w:szCs w:val="21"/>
              </w:rPr>
              <w:t>（0-8分）</w:t>
            </w:r>
          </w:p>
        </w:tc>
        <w:tc>
          <w:tcPr>
            <w:tcW w:w="719" w:type="dxa"/>
            <w:vMerge w:val="continue"/>
            <w:vAlign w:val="center"/>
          </w:tcPr>
          <w:p w14:paraId="04EB3C9A">
            <w:pPr>
              <w:widowControl/>
              <w:spacing w:after="120"/>
              <w:jc w:val="center"/>
              <w:rPr>
                <w:rFonts w:ascii="仿宋_GB2312" w:hAnsi="黑体" w:eastAsia="仿宋_GB2312"/>
                <w:b/>
                <w:bCs/>
                <w:szCs w:val="21"/>
              </w:rPr>
            </w:pPr>
          </w:p>
        </w:tc>
      </w:tr>
      <w:tr w14:paraId="53BD7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477" w:type="dxa"/>
            <w:vMerge w:val="continue"/>
          </w:tcPr>
          <w:p w14:paraId="58A603F3">
            <w:pPr>
              <w:widowControl/>
              <w:spacing w:after="120"/>
              <w:jc w:val="left"/>
              <w:rPr>
                <w:rFonts w:ascii="仿宋_GB2312" w:hAnsi="黑体" w:eastAsia="仿宋_GB2312"/>
                <w:szCs w:val="21"/>
              </w:rPr>
            </w:pPr>
          </w:p>
        </w:tc>
        <w:tc>
          <w:tcPr>
            <w:tcW w:w="902" w:type="dxa"/>
            <w:vMerge w:val="continue"/>
          </w:tcPr>
          <w:p w14:paraId="4676980E">
            <w:pPr>
              <w:widowControl/>
              <w:spacing w:after="120"/>
              <w:jc w:val="left"/>
              <w:rPr>
                <w:rFonts w:ascii="仿宋_GB2312" w:hAnsi="黑体" w:eastAsia="仿宋_GB2312"/>
                <w:szCs w:val="21"/>
              </w:rPr>
            </w:pPr>
          </w:p>
        </w:tc>
        <w:tc>
          <w:tcPr>
            <w:tcW w:w="1395" w:type="dxa"/>
            <w:vMerge w:val="continue"/>
          </w:tcPr>
          <w:p w14:paraId="2B017FDD">
            <w:pPr>
              <w:widowControl/>
              <w:spacing w:after="120"/>
              <w:jc w:val="left"/>
              <w:rPr>
                <w:rFonts w:ascii="仿宋_GB2312" w:hAnsi="黑体" w:eastAsia="仿宋_GB2312"/>
                <w:szCs w:val="21"/>
              </w:rPr>
            </w:pPr>
          </w:p>
        </w:tc>
        <w:tc>
          <w:tcPr>
            <w:tcW w:w="1453" w:type="dxa"/>
            <w:vMerge w:val="continue"/>
          </w:tcPr>
          <w:p w14:paraId="05288D8B">
            <w:pPr>
              <w:widowControl/>
              <w:spacing w:after="120"/>
              <w:jc w:val="left"/>
              <w:rPr>
                <w:rFonts w:ascii="仿宋_GB2312" w:hAnsi="黑体" w:eastAsia="仿宋_GB2312"/>
                <w:szCs w:val="21"/>
              </w:rPr>
            </w:pPr>
          </w:p>
        </w:tc>
        <w:tc>
          <w:tcPr>
            <w:tcW w:w="1910" w:type="dxa"/>
          </w:tcPr>
          <w:p w14:paraId="11C8A3D2">
            <w:pPr>
              <w:widowControl/>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lang w:val="en-US" w:eastAsia="zh-CN"/>
              </w:rPr>
              <w:t>服务态度，</w:t>
            </w:r>
            <w:r>
              <w:rPr>
                <w:rFonts w:hint="eastAsia" w:ascii="仿宋_GB2312" w:hAnsi="黑体" w:eastAsia="仿宋_GB2312" w:cs="黑体"/>
                <w:color w:val="000000"/>
                <w:sz w:val="18"/>
                <w:szCs w:val="18"/>
              </w:rPr>
              <w:t>开展政策、技术、科普等咨询、指导、宣传等工作</w:t>
            </w:r>
          </w:p>
        </w:tc>
        <w:tc>
          <w:tcPr>
            <w:tcW w:w="1604" w:type="dxa"/>
          </w:tcPr>
          <w:p w14:paraId="0C1BD129">
            <w:pPr>
              <w:spacing w:line="240" w:lineRule="exact"/>
              <w:jc w:val="center"/>
              <w:rPr>
                <w:rFonts w:ascii="仿宋_GB2312" w:hAnsi="黑体" w:eastAsia="仿宋_GB2312" w:cs="黑体"/>
                <w:color w:val="000000"/>
                <w:sz w:val="18"/>
                <w:szCs w:val="18"/>
              </w:rPr>
            </w:pPr>
            <w:r>
              <w:rPr>
                <w:rFonts w:hint="eastAsia" w:ascii="仿宋_GB2312" w:hAnsi="黑体" w:eastAsia="仿宋_GB2312" w:cs="黑体"/>
                <w:color w:val="000000"/>
                <w:sz w:val="18"/>
                <w:szCs w:val="18"/>
              </w:rPr>
              <w:t>开展技术研发、引进、嫁接、转化、熟化、推广等工作</w:t>
            </w:r>
          </w:p>
        </w:tc>
        <w:tc>
          <w:tcPr>
            <w:tcW w:w="1938" w:type="dxa"/>
          </w:tcPr>
          <w:p w14:paraId="7D288285">
            <w:pPr>
              <w:spacing w:line="240" w:lineRule="exact"/>
              <w:jc w:val="center"/>
              <w:rPr>
                <w:rFonts w:hint="eastAsia" w:ascii="仿宋_GB2312" w:hAnsi="黑体" w:eastAsia="仿宋_GB2312" w:cs="黑体"/>
                <w:color w:val="000000"/>
                <w:sz w:val="18"/>
                <w:szCs w:val="18"/>
              </w:rPr>
            </w:pPr>
            <w:r>
              <w:rPr>
                <w:rFonts w:hint="eastAsia" w:ascii="仿宋_GB2312" w:hAnsi="黑体" w:eastAsia="仿宋_GB2312" w:cs="黑体"/>
                <w:color w:val="000000"/>
                <w:sz w:val="18"/>
                <w:szCs w:val="18"/>
              </w:rPr>
              <w:t>与服务对象共同开展技术攻关与创新活动，形成新的技术成果</w:t>
            </w:r>
          </w:p>
        </w:tc>
        <w:tc>
          <w:tcPr>
            <w:tcW w:w="2139" w:type="dxa"/>
          </w:tcPr>
          <w:p w14:paraId="6990DEF9">
            <w:pPr>
              <w:spacing w:line="240" w:lineRule="exact"/>
              <w:jc w:val="center"/>
              <w:rPr>
                <w:rFonts w:hint="eastAsia" w:ascii="仿宋_GB2312" w:hAnsi="黑体" w:eastAsia="仿宋_GB2312" w:cs="黑体"/>
                <w:color w:val="000000"/>
                <w:sz w:val="18"/>
                <w:szCs w:val="18"/>
              </w:rPr>
            </w:pPr>
            <w:r>
              <w:rPr>
                <w:rFonts w:hint="eastAsia" w:ascii="仿宋_GB2312" w:hAnsi="黑体" w:eastAsia="仿宋_GB2312" w:cs="黑体"/>
                <w:color w:val="000000"/>
                <w:sz w:val="18"/>
                <w:szCs w:val="18"/>
              </w:rPr>
              <w:t>发挥传帮带作用，开展业务、技能、能力培训，培养基层人员、本土人才</w:t>
            </w:r>
          </w:p>
        </w:tc>
        <w:tc>
          <w:tcPr>
            <w:tcW w:w="2355" w:type="dxa"/>
          </w:tcPr>
          <w:p w14:paraId="7FA22822">
            <w:pPr>
              <w:spacing w:line="240" w:lineRule="exact"/>
              <w:jc w:val="center"/>
              <w:rPr>
                <w:rFonts w:hint="eastAsia" w:ascii="仿宋_GB2312" w:hAnsi="黑体" w:eastAsia="仿宋_GB2312" w:cs="黑体"/>
                <w:color w:val="000000"/>
                <w:sz w:val="18"/>
                <w:szCs w:val="18"/>
              </w:rPr>
            </w:pPr>
            <w:r>
              <w:rPr>
                <w:rFonts w:hint="eastAsia" w:ascii="仿宋_GB2312" w:hAnsi="黑体" w:eastAsia="仿宋_GB2312" w:cs="黑体"/>
                <w:color w:val="000000"/>
                <w:sz w:val="18"/>
                <w:szCs w:val="18"/>
              </w:rPr>
              <w:t>开展创新创业活动，缔结利益共同体，为服务对象带来经济效益与社会效益提升</w:t>
            </w:r>
          </w:p>
        </w:tc>
        <w:tc>
          <w:tcPr>
            <w:tcW w:w="719" w:type="dxa"/>
            <w:vMerge w:val="continue"/>
          </w:tcPr>
          <w:p w14:paraId="6DDEC171">
            <w:pPr>
              <w:widowControl/>
              <w:spacing w:after="120"/>
              <w:jc w:val="left"/>
              <w:rPr>
                <w:rFonts w:ascii="仿宋_GB2312" w:hAnsi="黑体" w:eastAsia="仿宋_GB2312"/>
                <w:szCs w:val="21"/>
              </w:rPr>
            </w:pPr>
          </w:p>
        </w:tc>
      </w:tr>
      <w:tr w14:paraId="1B185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477" w:type="dxa"/>
            <w:vAlign w:val="center"/>
          </w:tcPr>
          <w:p w14:paraId="4131BE42">
            <w:pPr>
              <w:widowControl/>
              <w:jc w:val="center"/>
              <w:rPr>
                <w:rFonts w:ascii="仿宋_GB2312" w:hAnsi="黑体" w:eastAsia="仿宋_GB2312"/>
                <w:szCs w:val="21"/>
              </w:rPr>
            </w:pPr>
            <w:r>
              <w:rPr>
                <w:rFonts w:hint="eastAsia" w:ascii="仿宋_GB2312" w:hAnsi="黑体" w:eastAsia="仿宋_GB2312"/>
                <w:szCs w:val="21"/>
              </w:rPr>
              <w:t>1</w:t>
            </w:r>
          </w:p>
        </w:tc>
        <w:tc>
          <w:tcPr>
            <w:tcW w:w="902" w:type="dxa"/>
          </w:tcPr>
          <w:p w14:paraId="6AE8A4A8">
            <w:pPr>
              <w:widowControl/>
              <w:jc w:val="left"/>
              <w:rPr>
                <w:rFonts w:ascii="仿宋_GB2312" w:hAnsi="黑体" w:eastAsia="仿宋_GB2312"/>
                <w:szCs w:val="21"/>
              </w:rPr>
            </w:pPr>
          </w:p>
        </w:tc>
        <w:tc>
          <w:tcPr>
            <w:tcW w:w="1395" w:type="dxa"/>
          </w:tcPr>
          <w:p w14:paraId="1403BEE7">
            <w:pPr>
              <w:widowControl/>
              <w:jc w:val="left"/>
              <w:rPr>
                <w:rFonts w:ascii="仿宋_GB2312" w:hAnsi="黑体" w:eastAsia="仿宋_GB2312"/>
                <w:szCs w:val="21"/>
              </w:rPr>
            </w:pPr>
          </w:p>
        </w:tc>
        <w:tc>
          <w:tcPr>
            <w:tcW w:w="1453" w:type="dxa"/>
          </w:tcPr>
          <w:p w14:paraId="55B43983">
            <w:pPr>
              <w:widowControl/>
              <w:jc w:val="left"/>
              <w:rPr>
                <w:rFonts w:ascii="仿宋_GB2312" w:hAnsi="黑体" w:eastAsia="仿宋_GB2312"/>
                <w:szCs w:val="21"/>
              </w:rPr>
            </w:pPr>
          </w:p>
        </w:tc>
        <w:tc>
          <w:tcPr>
            <w:tcW w:w="1910" w:type="dxa"/>
          </w:tcPr>
          <w:p w14:paraId="1E023344">
            <w:pPr>
              <w:widowControl/>
              <w:jc w:val="left"/>
              <w:rPr>
                <w:rFonts w:ascii="仿宋_GB2312" w:hAnsi="黑体" w:eastAsia="仿宋_GB2312"/>
                <w:szCs w:val="21"/>
              </w:rPr>
            </w:pPr>
          </w:p>
        </w:tc>
        <w:tc>
          <w:tcPr>
            <w:tcW w:w="1604" w:type="dxa"/>
          </w:tcPr>
          <w:p w14:paraId="60808268">
            <w:pPr>
              <w:widowControl/>
              <w:jc w:val="left"/>
              <w:rPr>
                <w:rFonts w:ascii="仿宋_GB2312" w:hAnsi="黑体" w:eastAsia="仿宋_GB2312"/>
                <w:szCs w:val="21"/>
              </w:rPr>
            </w:pPr>
          </w:p>
        </w:tc>
        <w:tc>
          <w:tcPr>
            <w:tcW w:w="1938" w:type="dxa"/>
          </w:tcPr>
          <w:p w14:paraId="5CF7DDD7">
            <w:pPr>
              <w:widowControl/>
              <w:jc w:val="left"/>
              <w:rPr>
                <w:rFonts w:ascii="仿宋_GB2312" w:hAnsi="黑体" w:eastAsia="仿宋_GB2312"/>
                <w:szCs w:val="21"/>
              </w:rPr>
            </w:pPr>
          </w:p>
        </w:tc>
        <w:tc>
          <w:tcPr>
            <w:tcW w:w="2139" w:type="dxa"/>
          </w:tcPr>
          <w:p w14:paraId="2C8D3BA8">
            <w:pPr>
              <w:widowControl/>
              <w:jc w:val="left"/>
              <w:rPr>
                <w:rFonts w:ascii="仿宋_GB2312" w:hAnsi="黑体" w:eastAsia="仿宋_GB2312"/>
                <w:szCs w:val="21"/>
              </w:rPr>
            </w:pPr>
          </w:p>
        </w:tc>
        <w:tc>
          <w:tcPr>
            <w:tcW w:w="2355" w:type="dxa"/>
          </w:tcPr>
          <w:p w14:paraId="655444B7">
            <w:pPr>
              <w:widowControl/>
              <w:jc w:val="left"/>
              <w:rPr>
                <w:rFonts w:ascii="仿宋_GB2312" w:hAnsi="黑体" w:eastAsia="仿宋_GB2312"/>
                <w:szCs w:val="21"/>
              </w:rPr>
            </w:pPr>
          </w:p>
        </w:tc>
        <w:tc>
          <w:tcPr>
            <w:tcW w:w="719" w:type="dxa"/>
            <w:vAlign w:val="center"/>
          </w:tcPr>
          <w:p w14:paraId="4168B579">
            <w:pPr>
              <w:widowControl/>
              <w:jc w:val="center"/>
              <w:rPr>
                <w:rFonts w:ascii="仿宋_GB2312" w:hAnsi="黑体" w:eastAsia="仿宋_GB2312"/>
                <w:szCs w:val="21"/>
              </w:rPr>
            </w:pPr>
          </w:p>
        </w:tc>
      </w:tr>
      <w:tr w14:paraId="140C2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477" w:type="dxa"/>
            <w:vAlign w:val="center"/>
          </w:tcPr>
          <w:p w14:paraId="610B074F">
            <w:pPr>
              <w:widowControl/>
              <w:jc w:val="center"/>
              <w:rPr>
                <w:rFonts w:ascii="仿宋_GB2312" w:hAnsi="黑体" w:eastAsia="仿宋_GB2312"/>
                <w:szCs w:val="21"/>
              </w:rPr>
            </w:pPr>
            <w:r>
              <w:rPr>
                <w:rFonts w:hint="eastAsia" w:ascii="仿宋_GB2312" w:hAnsi="黑体" w:eastAsia="仿宋_GB2312"/>
                <w:szCs w:val="21"/>
                <w:lang w:eastAsia="zh-CN"/>
              </w:rPr>
              <w:t xml:space="preserve"> </w:t>
            </w:r>
            <w:r>
              <w:rPr>
                <w:rFonts w:hint="eastAsia" w:ascii="仿宋_GB2312" w:hAnsi="黑体" w:eastAsia="仿宋_GB2312"/>
                <w:szCs w:val="21"/>
              </w:rPr>
              <w:t>2</w:t>
            </w:r>
          </w:p>
        </w:tc>
        <w:tc>
          <w:tcPr>
            <w:tcW w:w="902" w:type="dxa"/>
          </w:tcPr>
          <w:p w14:paraId="09AE564E">
            <w:pPr>
              <w:widowControl/>
              <w:jc w:val="left"/>
              <w:rPr>
                <w:rFonts w:ascii="仿宋_GB2312" w:hAnsi="黑体" w:eastAsia="仿宋_GB2312"/>
                <w:szCs w:val="21"/>
              </w:rPr>
            </w:pPr>
          </w:p>
        </w:tc>
        <w:tc>
          <w:tcPr>
            <w:tcW w:w="1395" w:type="dxa"/>
          </w:tcPr>
          <w:p w14:paraId="648F86E8">
            <w:pPr>
              <w:widowControl/>
              <w:jc w:val="left"/>
              <w:rPr>
                <w:rFonts w:ascii="仿宋_GB2312" w:hAnsi="黑体" w:eastAsia="仿宋_GB2312"/>
                <w:szCs w:val="21"/>
              </w:rPr>
            </w:pPr>
          </w:p>
        </w:tc>
        <w:tc>
          <w:tcPr>
            <w:tcW w:w="1453" w:type="dxa"/>
          </w:tcPr>
          <w:p w14:paraId="0A6D7F56">
            <w:pPr>
              <w:widowControl/>
              <w:jc w:val="left"/>
              <w:rPr>
                <w:rFonts w:ascii="仿宋_GB2312" w:hAnsi="黑体" w:eastAsia="仿宋_GB2312"/>
                <w:szCs w:val="21"/>
              </w:rPr>
            </w:pPr>
          </w:p>
        </w:tc>
        <w:tc>
          <w:tcPr>
            <w:tcW w:w="1910" w:type="dxa"/>
          </w:tcPr>
          <w:p w14:paraId="7CCD8A69">
            <w:pPr>
              <w:widowControl/>
              <w:jc w:val="left"/>
              <w:rPr>
                <w:rFonts w:ascii="仿宋_GB2312" w:hAnsi="黑体" w:eastAsia="仿宋_GB2312"/>
                <w:szCs w:val="21"/>
              </w:rPr>
            </w:pPr>
          </w:p>
        </w:tc>
        <w:tc>
          <w:tcPr>
            <w:tcW w:w="1604" w:type="dxa"/>
          </w:tcPr>
          <w:p w14:paraId="778E6061">
            <w:pPr>
              <w:widowControl/>
              <w:jc w:val="left"/>
              <w:rPr>
                <w:rFonts w:ascii="仿宋_GB2312" w:hAnsi="黑体" w:eastAsia="仿宋_GB2312"/>
                <w:szCs w:val="21"/>
              </w:rPr>
            </w:pPr>
          </w:p>
        </w:tc>
        <w:tc>
          <w:tcPr>
            <w:tcW w:w="1938" w:type="dxa"/>
          </w:tcPr>
          <w:p w14:paraId="67C109EE">
            <w:pPr>
              <w:widowControl/>
              <w:jc w:val="left"/>
              <w:rPr>
                <w:rFonts w:ascii="仿宋_GB2312" w:hAnsi="黑体" w:eastAsia="仿宋_GB2312"/>
                <w:szCs w:val="21"/>
              </w:rPr>
            </w:pPr>
          </w:p>
        </w:tc>
        <w:tc>
          <w:tcPr>
            <w:tcW w:w="2139" w:type="dxa"/>
          </w:tcPr>
          <w:p w14:paraId="30FEEF9D">
            <w:pPr>
              <w:widowControl/>
              <w:jc w:val="left"/>
              <w:rPr>
                <w:rFonts w:ascii="仿宋_GB2312" w:hAnsi="黑体" w:eastAsia="仿宋_GB2312"/>
                <w:szCs w:val="21"/>
              </w:rPr>
            </w:pPr>
          </w:p>
        </w:tc>
        <w:tc>
          <w:tcPr>
            <w:tcW w:w="2355" w:type="dxa"/>
          </w:tcPr>
          <w:p w14:paraId="1F9B18FE">
            <w:pPr>
              <w:widowControl/>
              <w:jc w:val="left"/>
              <w:rPr>
                <w:rFonts w:ascii="仿宋_GB2312" w:hAnsi="黑体" w:eastAsia="仿宋_GB2312"/>
                <w:szCs w:val="21"/>
              </w:rPr>
            </w:pPr>
          </w:p>
        </w:tc>
        <w:tc>
          <w:tcPr>
            <w:tcW w:w="719" w:type="dxa"/>
            <w:vAlign w:val="center"/>
          </w:tcPr>
          <w:p w14:paraId="5991AF2D">
            <w:pPr>
              <w:widowControl/>
              <w:jc w:val="center"/>
              <w:rPr>
                <w:rFonts w:ascii="仿宋_GB2312" w:hAnsi="黑体" w:eastAsia="仿宋_GB2312"/>
                <w:szCs w:val="21"/>
              </w:rPr>
            </w:pPr>
          </w:p>
        </w:tc>
      </w:tr>
      <w:tr w14:paraId="40368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477" w:type="dxa"/>
            <w:vAlign w:val="center"/>
          </w:tcPr>
          <w:p w14:paraId="23F60ACD">
            <w:pPr>
              <w:widowControl/>
              <w:jc w:val="center"/>
              <w:rPr>
                <w:rFonts w:ascii="仿宋_GB2312" w:hAnsi="黑体" w:eastAsia="仿宋_GB2312"/>
                <w:szCs w:val="21"/>
              </w:rPr>
            </w:pPr>
            <w:r>
              <w:rPr>
                <w:rFonts w:hint="eastAsia" w:ascii="仿宋_GB2312" w:hAnsi="黑体" w:eastAsia="仿宋_GB2312"/>
                <w:szCs w:val="21"/>
              </w:rPr>
              <w:t>3</w:t>
            </w:r>
          </w:p>
        </w:tc>
        <w:tc>
          <w:tcPr>
            <w:tcW w:w="902" w:type="dxa"/>
          </w:tcPr>
          <w:p w14:paraId="267551CA">
            <w:pPr>
              <w:widowControl/>
              <w:jc w:val="left"/>
              <w:rPr>
                <w:rFonts w:ascii="仿宋_GB2312" w:hAnsi="黑体" w:eastAsia="仿宋_GB2312"/>
                <w:szCs w:val="21"/>
              </w:rPr>
            </w:pPr>
          </w:p>
        </w:tc>
        <w:tc>
          <w:tcPr>
            <w:tcW w:w="1395" w:type="dxa"/>
          </w:tcPr>
          <w:p w14:paraId="5B05070E">
            <w:pPr>
              <w:widowControl/>
              <w:jc w:val="left"/>
              <w:rPr>
                <w:rFonts w:ascii="仿宋_GB2312" w:hAnsi="黑体" w:eastAsia="仿宋_GB2312"/>
                <w:szCs w:val="21"/>
              </w:rPr>
            </w:pPr>
          </w:p>
        </w:tc>
        <w:tc>
          <w:tcPr>
            <w:tcW w:w="1453" w:type="dxa"/>
          </w:tcPr>
          <w:p w14:paraId="77975552">
            <w:pPr>
              <w:widowControl/>
              <w:jc w:val="left"/>
              <w:rPr>
                <w:rFonts w:ascii="仿宋_GB2312" w:hAnsi="黑体" w:eastAsia="仿宋_GB2312"/>
                <w:szCs w:val="21"/>
              </w:rPr>
            </w:pPr>
          </w:p>
        </w:tc>
        <w:tc>
          <w:tcPr>
            <w:tcW w:w="1910" w:type="dxa"/>
          </w:tcPr>
          <w:p w14:paraId="5740E2CE">
            <w:pPr>
              <w:widowControl/>
              <w:jc w:val="left"/>
              <w:rPr>
                <w:rFonts w:ascii="仿宋_GB2312" w:hAnsi="黑体" w:eastAsia="仿宋_GB2312"/>
                <w:szCs w:val="21"/>
              </w:rPr>
            </w:pPr>
          </w:p>
        </w:tc>
        <w:tc>
          <w:tcPr>
            <w:tcW w:w="1604" w:type="dxa"/>
          </w:tcPr>
          <w:p w14:paraId="208B6456">
            <w:pPr>
              <w:widowControl/>
              <w:jc w:val="left"/>
              <w:rPr>
                <w:rFonts w:ascii="仿宋_GB2312" w:hAnsi="黑体" w:eastAsia="仿宋_GB2312"/>
                <w:szCs w:val="21"/>
              </w:rPr>
            </w:pPr>
          </w:p>
        </w:tc>
        <w:tc>
          <w:tcPr>
            <w:tcW w:w="1938" w:type="dxa"/>
          </w:tcPr>
          <w:p w14:paraId="4C7078A6">
            <w:pPr>
              <w:widowControl/>
              <w:jc w:val="left"/>
              <w:rPr>
                <w:rFonts w:ascii="仿宋_GB2312" w:hAnsi="黑体" w:eastAsia="仿宋_GB2312"/>
                <w:szCs w:val="21"/>
              </w:rPr>
            </w:pPr>
          </w:p>
        </w:tc>
        <w:tc>
          <w:tcPr>
            <w:tcW w:w="2139" w:type="dxa"/>
          </w:tcPr>
          <w:p w14:paraId="4EDA2B45">
            <w:pPr>
              <w:widowControl/>
              <w:jc w:val="left"/>
              <w:rPr>
                <w:rFonts w:ascii="仿宋_GB2312" w:hAnsi="黑体" w:eastAsia="仿宋_GB2312"/>
                <w:szCs w:val="21"/>
              </w:rPr>
            </w:pPr>
          </w:p>
        </w:tc>
        <w:tc>
          <w:tcPr>
            <w:tcW w:w="2355" w:type="dxa"/>
          </w:tcPr>
          <w:p w14:paraId="498B0B8A">
            <w:pPr>
              <w:widowControl/>
              <w:jc w:val="left"/>
              <w:rPr>
                <w:rFonts w:ascii="仿宋_GB2312" w:hAnsi="黑体" w:eastAsia="仿宋_GB2312"/>
                <w:szCs w:val="21"/>
              </w:rPr>
            </w:pPr>
          </w:p>
        </w:tc>
        <w:tc>
          <w:tcPr>
            <w:tcW w:w="719" w:type="dxa"/>
            <w:vAlign w:val="center"/>
          </w:tcPr>
          <w:p w14:paraId="5A57B55F">
            <w:pPr>
              <w:widowControl/>
              <w:jc w:val="center"/>
              <w:rPr>
                <w:rFonts w:ascii="仿宋_GB2312" w:hAnsi="黑体" w:eastAsia="仿宋_GB2312"/>
                <w:szCs w:val="21"/>
              </w:rPr>
            </w:pPr>
          </w:p>
        </w:tc>
      </w:tr>
      <w:tr w14:paraId="449A9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477" w:type="dxa"/>
            <w:vAlign w:val="center"/>
          </w:tcPr>
          <w:p w14:paraId="4387C50A">
            <w:pPr>
              <w:widowControl/>
              <w:jc w:val="center"/>
              <w:rPr>
                <w:rFonts w:ascii="仿宋_GB2312" w:hAnsi="黑体" w:eastAsia="仿宋_GB2312"/>
                <w:szCs w:val="21"/>
              </w:rPr>
            </w:pPr>
            <w:r>
              <w:rPr>
                <w:rFonts w:hint="eastAsia" w:ascii="仿宋_GB2312" w:hAnsi="黑体" w:eastAsia="仿宋_GB2312"/>
                <w:szCs w:val="21"/>
              </w:rPr>
              <w:t>4</w:t>
            </w:r>
          </w:p>
        </w:tc>
        <w:tc>
          <w:tcPr>
            <w:tcW w:w="902" w:type="dxa"/>
          </w:tcPr>
          <w:p w14:paraId="38D48FFF">
            <w:pPr>
              <w:widowControl/>
              <w:jc w:val="left"/>
              <w:rPr>
                <w:rFonts w:ascii="仿宋_GB2312" w:hAnsi="黑体" w:eastAsia="仿宋_GB2312"/>
                <w:szCs w:val="21"/>
              </w:rPr>
            </w:pPr>
          </w:p>
        </w:tc>
        <w:tc>
          <w:tcPr>
            <w:tcW w:w="1395" w:type="dxa"/>
          </w:tcPr>
          <w:p w14:paraId="30290F11">
            <w:pPr>
              <w:widowControl/>
              <w:jc w:val="left"/>
              <w:rPr>
                <w:rFonts w:ascii="仿宋_GB2312" w:hAnsi="黑体" w:eastAsia="仿宋_GB2312"/>
                <w:szCs w:val="21"/>
              </w:rPr>
            </w:pPr>
          </w:p>
        </w:tc>
        <w:tc>
          <w:tcPr>
            <w:tcW w:w="1453" w:type="dxa"/>
          </w:tcPr>
          <w:p w14:paraId="460827F4">
            <w:pPr>
              <w:widowControl/>
              <w:jc w:val="left"/>
              <w:rPr>
                <w:rFonts w:ascii="仿宋_GB2312" w:hAnsi="黑体" w:eastAsia="仿宋_GB2312"/>
                <w:szCs w:val="21"/>
              </w:rPr>
            </w:pPr>
          </w:p>
        </w:tc>
        <w:tc>
          <w:tcPr>
            <w:tcW w:w="1910" w:type="dxa"/>
          </w:tcPr>
          <w:p w14:paraId="2B90A859">
            <w:pPr>
              <w:widowControl/>
              <w:jc w:val="left"/>
              <w:rPr>
                <w:rFonts w:ascii="仿宋_GB2312" w:hAnsi="黑体" w:eastAsia="仿宋_GB2312"/>
                <w:szCs w:val="21"/>
              </w:rPr>
            </w:pPr>
          </w:p>
        </w:tc>
        <w:tc>
          <w:tcPr>
            <w:tcW w:w="1604" w:type="dxa"/>
          </w:tcPr>
          <w:p w14:paraId="5EDE324A">
            <w:pPr>
              <w:widowControl/>
              <w:jc w:val="left"/>
              <w:rPr>
                <w:rFonts w:ascii="仿宋_GB2312" w:hAnsi="黑体" w:eastAsia="仿宋_GB2312"/>
                <w:szCs w:val="21"/>
              </w:rPr>
            </w:pPr>
          </w:p>
        </w:tc>
        <w:tc>
          <w:tcPr>
            <w:tcW w:w="1938" w:type="dxa"/>
          </w:tcPr>
          <w:p w14:paraId="7C4AD97E">
            <w:pPr>
              <w:widowControl/>
              <w:jc w:val="left"/>
              <w:rPr>
                <w:rFonts w:ascii="仿宋_GB2312" w:hAnsi="黑体" w:eastAsia="仿宋_GB2312"/>
                <w:szCs w:val="21"/>
              </w:rPr>
            </w:pPr>
          </w:p>
        </w:tc>
        <w:tc>
          <w:tcPr>
            <w:tcW w:w="2139" w:type="dxa"/>
          </w:tcPr>
          <w:p w14:paraId="29B60E1E">
            <w:pPr>
              <w:widowControl/>
              <w:jc w:val="left"/>
              <w:rPr>
                <w:rFonts w:ascii="仿宋_GB2312" w:hAnsi="黑体" w:eastAsia="仿宋_GB2312"/>
                <w:szCs w:val="21"/>
              </w:rPr>
            </w:pPr>
          </w:p>
        </w:tc>
        <w:tc>
          <w:tcPr>
            <w:tcW w:w="2355" w:type="dxa"/>
          </w:tcPr>
          <w:p w14:paraId="645EFD0A">
            <w:pPr>
              <w:widowControl/>
              <w:jc w:val="left"/>
              <w:rPr>
                <w:rFonts w:ascii="仿宋_GB2312" w:hAnsi="黑体" w:eastAsia="仿宋_GB2312"/>
                <w:szCs w:val="21"/>
              </w:rPr>
            </w:pPr>
          </w:p>
        </w:tc>
        <w:tc>
          <w:tcPr>
            <w:tcW w:w="719" w:type="dxa"/>
            <w:vAlign w:val="center"/>
          </w:tcPr>
          <w:p w14:paraId="2134372F">
            <w:pPr>
              <w:widowControl/>
              <w:jc w:val="center"/>
              <w:rPr>
                <w:rFonts w:ascii="仿宋_GB2312" w:hAnsi="黑体" w:eastAsia="仿宋_GB2312"/>
                <w:szCs w:val="21"/>
              </w:rPr>
            </w:pPr>
          </w:p>
        </w:tc>
      </w:tr>
      <w:tr w14:paraId="3D421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477" w:type="dxa"/>
            <w:vAlign w:val="center"/>
          </w:tcPr>
          <w:p w14:paraId="3CCCE811">
            <w:pPr>
              <w:widowControl/>
              <w:jc w:val="center"/>
              <w:rPr>
                <w:rFonts w:ascii="仿宋_GB2312" w:hAnsi="黑体" w:eastAsia="仿宋_GB2312"/>
                <w:szCs w:val="21"/>
              </w:rPr>
            </w:pPr>
            <w:r>
              <w:rPr>
                <w:rFonts w:hint="eastAsia" w:ascii="仿宋_GB2312" w:hAnsi="黑体" w:eastAsia="仿宋_GB2312"/>
                <w:szCs w:val="21"/>
              </w:rPr>
              <w:t>5</w:t>
            </w:r>
          </w:p>
        </w:tc>
        <w:tc>
          <w:tcPr>
            <w:tcW w:w="902" w:type="dxa"/>
          </w:tcPr>
          <w:p w14:paraId="1F009487">
            <w:pPr>
              <w:widowControl/>
              <w:jc w:val="left"/>
              <w:rPr>
                <w:rFonts w:ascii="仿宋_GB2312" w:hAnsi="黑体" w:eastAsia="仿宋_GB2312"/>
                <w:szCs w:val="21"/>
              </w:rPr>
            </w:pPr>
          </w:p>
        </w:tc>
        <w:tc>
          <w:tcPr>
            <w:tcW w:w="1395" w:type="dxa"/>
          </w:tcPr>
          <w:p w14:paraId="1CCB9515">
            <w:pPr>
              <w:widowControl/>
              <w:jc w:val="left"/>
              <w:rPr>
                <w:rFonts w:ascii="仿宋_GB2312" w:hAnsi="黑体" w:eastAsia="仿宋_GB2312"/>
                <w:szCs w:val="21"/>
              </w:rPr>
            </w:pPr>
          </w:p>
        </w:tc>
        <w:tc>
          <w:tcPr>
            <w:tcW w:w="1453" w:type="dxa"/>
          </w:tcPr>
          <w:p w14:paraId="5CC577E9">
            <w:pPr>
              <w:widowControl/>
              <w:jc w:val="left"/>
              <w:rPr>
                <w:rFonts w:ascii="仿宋_GB2312" w:hAnsi="黑体" w:eastAsia="仿宋_GB2312"/>
                <w:szCs w:val="21"/>
              </w:rPr>
            </w:pPr>
          </w:p>
        </w:tc>
        <w:tc>
          <w:tcPr>
            <w:tcW w:w="1910" w:type="dxa"/>
          </w:tcPr>
          <w:p w14:paraId="29B9FD1C">
            <w:pPr>
              <w:widowControl/>
              <w:jc w:val="left"/>
              <w:rPr>
                <w:rFonts w:ascii="仿宋_GB2312" w:hAnsi="黑体" w:eastAsia="仿宋_GB2312"/>
                <w:szCs w:val="21"/>
              </w:rPr>
            </w:pPr>
          </w:p>
        </w:tc>
        <w:tc>
          <w:tcPr>
            <w:tcW w:w="1604" w:type="dxa"/>
          </w:tcPr>
          <w:p w14:paraId="3CCC59F1">
            <w:pPr>
              <w:widowControl/>
              <w:jc w:val="left"/>
              <w:rPr>
                <w:rFonts w:ascii="仿宋_GB2312" w:hAnsi="黑体" w:eastAsia="仿宋_GB2312"/>
                <w:szCs w:val="21"/>
              </w:rPr>
            </w:pPr>
          </w:p>
        </w:tc>
        <w:tc>
          <w:tcPr>
            <w:tcW w:w="1938" w:type="dxa"/>
          </w:tcPr>
          <w:p w14:paraId="1E928593">
            <w:pPr>
              <w:widowControl/>
              <w:jc w:val="left"/>
              <w:rPr>
                <w:rFonts w:ascii="仿宋_GB2312" w:hAnsi="黑体" w:eastAsia="仿宋_GB2312"/>
                <w:szCs w:val="21"/>
              </w:rPr>
            </w:pPr>
          </w:p>
        </w:tc>
        <w:tc>
          <w:tcPr>
            <w:tcW w:w="2139" w:type="dxa"/>
          </w:tcPr>
          <w:p w14:paraId="0D70F2D6">
            <w:pPr>
              <w:widowControl/>
              <w:jc w:val="left"/>
              <w:rPr>
                <w:rFonts w:ascii="仿宋_GB2312" w:hAnsi="黑体" w:eastAsia="仿宋_GB2312"/>
                <w:szCs w:val="21"/>
              </w:rPr>
            </w:pPr>
          </w:p>
        </w:tc>
        <w:tc>
          <w:tcPr>
            <w:tcW w:w="2355" w:type="dxa"/>
          </w:tcPr>
          <w:p w14:paraId="696B3FB8">
            <w:pPr>
              <w:widowControl/>
              <w:jc w:val="left"/>
              <w:rPr>
                <w:rFonts w:ascii="仿宋_GB2312" w:hAnsi="黑体" w:eastAsia="仿宋_GB2312"/>
                <w:szCs w:val="21"/>
              </w:rPr>
            </w:pPr>
          </w:p>
        </w:tc>
        <w:tc>
          <w:tcPr>
            <w:tcW w:w="719" w:type="dxa"/>
            <w:vAlign w:val="center"/>
          </w:tcPr>
          <w:p w14:paraId="2D857785">
            <w:pPr>
              <w:widowControl/>
              <w:jc w:val="center"/>
              <w:rPr>
                <w:rFonts w:ascii="仿宋_GB2312" w:hAnsi="黑体" w:eastAsia="仿宋_GB2312"/>
                <w:szCs w:val="21"/>
              </w:rPr>
            </w:pPr>
          </w:p>
        </w:tc>
      </w:tr>
      <w:tr w14:paraId="3C7C9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477" w:type="dxa"/>
            <w:vAlign w:val="center"/>
          </w:tcPr>
          <w:p w14:paraId="45C01B28">
            <w:pPr>
              <w:widowControl/>
              <w:jc w:val="center"/>
              <w:rPr>
                <w:rFonts w:ascii="仿宋_GB2312" w:hAnsi="黑体" w:eastAsia="仿宋_GB2312"/>
                <w:szCs w:val="21"/>
              </w:rPr>
            </w:pPr>
            <w:r>
              <w:rPr>
                <w:rFonts w:hint="eastAsia" w:ascii="仿宋_GB2312" w:hAnsi="黑体" w:eastAsia="仿宋_GB2312"/>
                <w:szCs w:val="21"/>
              </w:rPr>
              <w:t>6</w:t>
            </w:r>
          </w:p>
        </w:tc>
        <w:tc>
          <w:tcPr>
            <w:tcW w:w="902" w:type="dxa"/>
          </w:tcPr>
          <w:p w14:paraId="330FFD5D">
            <w:pPr>
              <w:widowControl/>
              <w:jc w:val="left"/>
              <w:rPr>
                <w:rFonts w:ascii="仿宋_GB2312" w:hAnsi="黑体" w:eastAsia="仿宋_GB2312"/>
                <w:szCs w:val="21"/>
              </w:rPr>
            </w:pPr>
          </w:p>
        </w:tc>
        <w:tc>
          <w:tcPr>
            <w:tcW w:w="1395" w:type="dxa"/>
          </w:tcPr>
          <w:p w14:paraId="0FAD6023">
            <w:pPr>
              <w:widowControl/>
              <w:jc w:val="left"/>
              <w:rPr>
                <w:rFonts w:ascii="仿宋_GB2312" w:hAnsi="黑体" w:eastAsia="仿宋_GB2312"/>
                <w:szCs w:val="21"/>
              </w:rPr>
            </w:pPr>
          </w:p>
        </w:tc>
        <w:tc>
          <w:tcPr>
            <w:tcW w:w="1453" w:type="dxa"/>
          </w:tcPr>
          <w:p w14:paraId="2B6D6309">
            <w:pPr>
              <w:widowControl/>
              <w:jc w:val="left"/>
              <w:rPr>
                <w:rFonts w:ascii="仿宋_GB2312" w:hAnsi="黑体" w:eastAsia="仿宋_GB2312"/>
                <w:szCs w:val="21"/>
              </w:rPr>
            </w:pPr>
          </w:p>
        </w:tc>
        <w:tc>
          <w:tcPr>
            <w:tcW w:w="1910" w:type="dxa"/>
          </w:tcPr>
          <w:p w14:paraId="5A979797">
            <w:pPr>
              <w:widowControl/>
              <w:jc w:val="left"/>
              <w:rPr>
                <w:rFonts w:ascii="仿宋_GB2312" w:hAnsi="黑体" w:eastAsia="仿宋_GB2312"/>
                <w:szCs w:val="21"/>
              </w:rPr>
            </w:pPr>
          </w:p>
        </w:tc>
        <w:tc>
          <w:tcPr>
            <w:tcW w:w="1604" w:type="dxa"/>
          </w:tcPr>
          <w:p w14:paraId="7012C5D8">
            <w:pPr>
              <w:widowControl/>
              <w:jc w:val="left"/>
              <w:rPr>
                <w:rFonts w:ascii="仿宋_GB2312" w:hAnsi="黑体" w:eastAsia="仿宋_GB2312"/>
                <w:szCs w:val="21"/>
              </w:rPr>
            </w:pPr>
          </w:p>
        </w:tc>
        <w:tc>
          <w:tcPr>
            <w:tcW w:w="1938" w:type="dxa"/>
          </w:tcPr>
          <w:p w14:paraId="2CF4732A">
            <w:pPr>
              <w:widowControl/>
              <w:jc w:val="left"/>
              <w:rPr>
                <w:rFonts w:ascii="仿宋_GB2312" w:hAnsi="黑体" w:eastAsia="仿宋_GB2312"/>
                <w:szCs w:val="21"/>
              </w:rPr>
            </w:pPr>
          </w:p>
        </w:tc>
        <w:tc>
          <w:tcPr>
            <w:tcW w:w="2139" w:type="dxa"/>
          </w:tcPr>
          <w:p w14:paraId="08381560">
            <w:pPr>
              <w:widowControl/>
              <w:jc w:val="left"/>
              <w:rPr>
                <w:rFonts w:ascii="仿宋_GB2312" w:hAnsi="黑体" w:eastAsia="仿宋_GB2312"/>
                <w:szCs w:val="21"/>
              </w:rPr>
            </w:pPr>
          </w:p>
        </w:tc>
        <w:tc>
          <w:tcPr>
            <w:tcW w:w="2355" w:type="dxa"/>
          </w:tcPr>
          <w:p w14:paraId="3B4A3D5D">
            <w:pPr>
              <w:widowControl/>
              <w:jc w:val="left"/>
              <w:rPr>
                <w:rFonts w:ascii="仿宋_GB2312" w:hAnsi="黑体" w:eastAsia="仿宋_GB2312"/>
                <w:szCs w:val="21"/>
              </w:rPr>
            </w:pPr>
          </w:p>
        </w:tc>
        <w:tc>
          <w:tcPr>
            <w:tcW w:w="719" w:type="dxa"/>
            <w:vAlign w:val="center"/>
          </w:tcPr>
          <w:p w14:paraId="3B277A5E">
            <w:pPr>
              <w:widowControl/>
              <w:jc w:val="center"/>
              <w:rPr>
                <w:rFonts w:ascii="仿宋_GB2312" w:hAnsi="黑体" w:eastAsia="仿宋_GB2312"/>
                <w:szCs w:val="21"/>
              </w:rPr>
            </w:pPr>
          </w:p>
        </w:tc>
      </w:tr>
      <w:tr w14:paraId="17438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477" w:type="dxa"/>
            <w:vAlign w:val="center"/>
          </w:tcPr>
          <w:p w14:paraId="7FB213E6">
            <w:pPr>
              <w:widowControl/>
              <w:jc w:val="center"/>
              <w:rPr>
                <w:rFonts w:ascii="仿宋_GB2312" w:hAnsi="黑体" w:eastAsia="仿宋_GB2312"/>
                <w:szCs w:val="21"/>
              </w:rPr>
            </w:pPr>
            <w:r>
              <w:rPr>
                <w:rFonts w:hint="eastAsia" w:ascii="仿宋_GB2312" w:hAnsi="黑体" w:eastAsia="仿宋_GB2312"/>
                <w:szCs w:val="21"/>
              </w:rPr>
              <w:t>7</w:t>
            </w:r>
          </w:p>
        </w:tc>
        <w:tc>
          <w:tcPr>
            <w:tcW w:w="902" w:type="dxa"/>
          </w:tcPr>
          <w:p w14:paraId="635C17A1">
            <w:pPr>
              <w:widowControl/>
              <w:jc w:val="left"/>
              <w:rPr>
                <w:rFonts w:ascii="仿宋_GB2312" w:hAnsi="黑体" w:eastAsia="仿宋_GB2312"/>
                <w:szCs w:val="21"/>
              </w:rPr>
            </w:pPr>
          </w:p>
        </w:tc>
        <w:tc>
          <w:tcPr>
            <w:tcW w:w="1395" w:type="dxa"/>
          </w:tcPr>
          <w:p w14:paraId="3BE79372">
            <w:pPr>
              <w:widowControl/>
              <w:jc w:val="left"/>
              <w:rPr>
                <w:rFonts w:ascii="仿宋_GB2312" w:hAnsi="黑体" w:eastAsia="仿宋_GB2312"/>
                <w:szCs w:val="21"/>
              </w:rPr>
            </w:pPr>
          </w:p>
        </w:tc>
        <w:tc>
          <w:tcPr>
            <w:tcW w:w="1453" w:type="dxa"/>
          </w:tcPr>
          <w:p w14:paraId="66CD1B12">
            <w:pPr>
              <w:widowControl/>
              <w:jc w:val="left"/>
              <w:rPr>
                <w:rFonts w:ascii="仿宋_GB2312" w:hAnsi="黑体" w:eastAsia="仿宋_GB2312"/>
                <w:szCs w:val="21"/>
              </w:rPr>
            </w:pPr>
          </w:p>
        </w:tc>
        <w:tc>
          <w:tcPr>
            <w:tcW w:w="1910" w:type="dxa"/>
          </w:tcPr>
          <w:p w14:paraId="74F15B6B">
            <w:pPr>
              <w:widowControl/>
              <w:jc w:val="left"/>
              <w:rPr>
                <w:rFonts w:ascii="仿宋_GB2312" w:hAnsi="黑体" w:eastAsia="仿宋_GB2312"/>
                <w:szCs w:val="21"/>
              </w:rPr>
            </w:pPr>
          </w:p>
        </w:tc>
        <w:tc>
          <w:tcPr>
            <w:tcW w:w="1604" w:type="dxa"/>
          </w:tcPr>
          <w:p w14:paraId="736AFA74">
            <w:pPr>
              <w:widowControl/>
              <w:jc w:val="left"/>
              <w:rPr>
                <w:rFonts w:ascii="仿宋_GB2312" w:hAnsi="黑体" w:eastAsia="仿宋_GB2312"/>
                <w:szCs w:val="21"/>
              </w:rPr>
            </w:pPr>
          </w:p>
        </w:tc>
        <w:tc>
          <w:tcPr>
            <w:tcW w:w="1938" w:type="dxa"/>
          </w:tcPr>
          <w:p w14:paraId="752E807F">
            <w:pPr>
              <w:widowControl/>
              <w:jc w:val="left"/>
              <w:rPr>
                <w:rFonts w:ascii="仿宋_GB2312" w:hAnsi="黑体" w:eastAsia="仿宋_GB2312"/>
                <w:szCs w:val="21"/>
              </w:rPr>
            </w:pPr>
          </w:p>
        </w:tc>
        <w:tc>
          <w:tcPr>
            <w:tcW w:w="2139" w:type="dxa"/>
          </w:tcPr>
          <w:p w14:paraId="74B7EDAE">
            <w:pPr>
              <w:widowControl/>
              <w:jc w:val="left"/>
              <w:rPr>
                <w:rFonts w:ascii="仿宋_GB2312" w:hAnsi="黑体" w:eastAsia="仿宋_GB2312"/>
                <w:szCs w:val="21"/>
              </w:rPr>
            </w:pPr>
          </w:p>
        </w:tc>
        <w:tc>
          <w:tcPr>
            <w:tcW w:w="2355" w:type="dxa"/>
          </w:tcPr>
          <w:p w14:paraId="6E0737CD">
            <w:pPr>
              <w:widowControl/>
              <w:jc w:val="left"/>
              <w:rPr>
                <w:rFonts w:ascii="仿宋_GB2312" w:hAnsi="黑体" w:eastAsia="仿宋_GB2312"/>
                <w:szCs w:val="21"/>
              </w:rPr>
            </w:pPr>
          </w:p>
        </w:tc>
        <w:tc>
          <w:tcPr>
            <w:tcW w:w="719" w:type="dxa"/>
            <w:vAlign w:val="center"/>
          </w:tcPr>
          <w:p w14:paraId="7E8D8844">
            <w:pPr>
              <w:widowControl/>
              <w:jc w:val="center"/>
              <w:rPr>
                <w:rFonts w:ascii="仿宋_GB2312" w:hAnsi="黑体" w:eastAsia="仿宋_GB2312"/>
                <w:szCs w:val="21"/>
              </w:rPr>
            </w:pPr>
          </w:p>
        </w:tc>
      </w:tr>
      <w:tr w14:paraId="61B92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477" w:type="dxa"/>
            <w:vAlign w:val="center"/>
          </w:tcPr>
          <w:p w14:paraId="5FFF6DA1">
            <w:pPr>
              <w:widowControl/>
              <w:jc w:val="center"/>
              <w:rPr>
                <w:rFonts w:ascii="仿宋_GB2312" w:hAnsi="黑体" w:eastAsia="仿宋_GB2312"/>
                <w:szCs w:val="21"/>
              </w:rPr>
            </w:pPr>
            <w:r>
              <w:rPr>
                <w:rFonts w:hint="eastAsia" w:ascii="仿宋_GB2312" w:hAnsi="黑体" w:eastAsia="仿宋_GB2312"/>
                <w:szCs w:val="21"/>
              </w:rPr>
              <w:t>8</w:t>
            </w:r>
          </w:p>
        </w:tc>
        <w:tc>
          <w:tcPr>
            <w:tcW w:w="902" w:type="dxa"/>
          </w:tcPr>
          <w:p w14:paraId="436F1319">
            <w:pPr>
              <w:widowControl/>
              <w:jc w:val="left"/>
              <w:rPr>
                <w:rFonts w:ascii="仿宋_GB2312" w:hAnsi="黑体" w:eastAsia="仿宋_GB2312"/>
                <w:szCs w:val="21"/>
              </w:rPr>
            </w:pPr>
          </w:p>
        </w:tc>
        <w:tc>
          <w:tcPr>
            <w:tcW w:w="1395" w:type="dxa"/>
          </w:tcPr>
          <w:p w14:paraId="53872FEA">
            <w:pPr>
              <w:widowControl/>
              <w:jc w:val="left"/>
              <w:rPr>
                <w:rFonts w:ascii="仿宋_GB2312" w:hAnsi="黑体" w:eastAsia="仿宋_GB2312"/>
                <w:szCs w:val="21"/>
              </w:rPr>
            </w:pPr>
          </w:p>
        </w:tc>
        <w:tc>
          <w:tcPr>
            <w:tcW w:w="1453" w:type="dxa"/>
          </w:tcPr>
          <w:p w14:paraId="3773B871">
            <w:pPr>
              <w:widowControl/>
              <w:jc w:val="left"/>
              <w:rPr>
                <w:rFonts w:ascii="仿宋_GB2312" w:hAnsi="黑体" w:eastAsia="仿宋_GB2312"/>
                <w:szCs w:val="21"/>
              </w:rPr>
            </w:pPr>
          </w:p>
        </w:tc>
        <w:tc>
          <w:tcPr>
            <w:tcW w:w="1910" w:type="dxa"/>
          </w:tcPr>
          <w:p w14:paraId="14FD2CC2">
            <w:pPr>
              <w:widowControl/>
              <w:jc w:val="left"/>
              <w:rPr>
                <w:rFonts w:ascii="仿宋_GB2312" w:hAnsi="黑体" w:eastAsia="仿宋_GB2312"/>
                <w:szCs w:val="21"/>
              </w:rPr>
            </w:pPr>
          </w:p>
        </w:tc>
        <w:tc>
          <w:tcPr>
            <w:tcW w:w="1604" w:type="dxa"/>
          </w:tcPr>
          <w:p w14:paraId="69BF053E">
            <w:pPr>
              <w:widowControl/>
              <w:jc w:val="left"/>
              <w:rPr>
                <w:rFonts w:ascii="仿宋_GB2312" w:hAnsi="黑体" w:eastAsia="仿宋_GB2312"/>
                <w:szCs w:val="21"/>
              </w:rPr>
            </w:pPr>
          </w:p>
        </w:tc>
        <w:tc>
          <w:tcPr>
            <w:tcW w:w="1938" w:type="dxa"/>
          </w:tcPr>
          <w:p w14:paraId="7F9DA3A6">
            <w:pPr>
              <w:widowControl/>
              <w:jc w:val="left"/>
              <w:rPr>
                <w:rFonts w:ascii="仿宋_GB2312" w:hAnsi="黑体" w:eastAsia="仿宋_GB2312"/>
                <w:szCs w:val="21"/>
              </w:rPr>
            </w:pPr>
          </w:p>
        </w:tc>
        <w:tc>
          <w:tcPr>
            <w:tcW w:w="2139" w:type="dxa"/>
          </w:tcPr>
          <w:p w14:paraId="03490C76">
            <w:pPr>
              <w:widowControl/>
              <w:jc w:val="left"/>
              <w:rPr>
                <w:rFonts w:ascii="仿宋_GB2312" w:hAnsi="黑体" w:eastAsia="仿宋_GB2312"/>
                <w:szCs w:val="21"/>
              </w:rPr>
            </w:pPr>
          </w:p>
        </w:tc>
        <w:tc>
          <w:tcPr>
            <w:tcW w:w="2355" w:type="dxa"/>
          </w:tcPr>
          <w:p w14:paraId="33E8A9DB">
            <w:pPr>
              <w:widowControl/>
              <w:jc w:val="left"/>
              <w:rPr>
                <w:rFonts w:ascii="仿宋_GB2312" w:hAnsi="黑体" w:eastAsia="仿宋_GB2312"/>
                <w:szCs w:val="21"/>
              </w:rPr>
            </w:pPr>
          </w:p>
        </w:tc>
        <w:tc>
          <w:tcPr>
            <w:tcW w:w="719" w:type="dxa"/>
            <w:vAlign w:val="center"/>
          </w:tcPr>
          <w:p w14:paraId="2E730D2B">
            <w:pPr>
              <w:widowControl/>
              <w:jc w:val="center"/>
              <w:rPr>
                <w:rFonts w:ascii="仿宋_GB2312" w:hAnsi="黑体" w:eastAsia="仿宋_GB2312"/>
                <w:szCs w:val="21"/>
              </w:rPr>
            </w:pPr>
          </w:p>
        </w:tc>
      </w:tr>
      <w:tr w14:paraId="62D46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477" w:type="dxa"/>
            <w:vAlign w:val="center"/>
          </w:tcPr>
          <w:p w14:paraId="0A872306">
            <w:pPr>
              <w:widowControl/>
              <w:jc w:val="center"/>
              <w:rPr>
                <w:rFonts w:ascii="仿宋_GB2312" w:hAnsi="黑体" w:eastAsia="仿宋_GB2312"/>
                <w:szCs w:val="21"/>
              </w:rPr>
            </w:pPr>
            <w:r>
              <w:rPr>
                <w:rFonts w:hint="eastAsia" w:ascii="仿宋_GB2312" w:hAnsi="黑体" w:eastAsia="仿宋_GB2312"/>
                <w:szCs w:val="21"/>
              </w:rPr>
              <w:t>9</w:t>
            </w:r>
          </w:p>
        </w:tc>
        <w:tc>
          <w:tcPr>
            <w:tcW w:w="902" w:type="dxa"/>
          </w:tcPr>
          <w:p w14:paraId="7C34039B">
            <w:pPr>
              <w:widowControl/>
              <w:jc w:val="left"/>
              <w:rPr>
                <w:rFonts w:ascii="仿宋_GB2312" w:hAnsi="黑体" w:eastAsia="仿宋_GB2312"/>
                <w:szCs w:val="21"/>
              </w:rPr>
            </w:pPr>
          </w:p>
        </w:tc>
        <w:tc>
          <w:tcPr>
            <w:tcW w:w="1395" w:type="dxa"/>
          </w:tcPr>
          <w:p w14:paraId="02A77CF9">
            <w:pPr>
              <w:widowControl/>
              <w:jc w:val="left"/>
              <w:rPr>
                <w:rFonts w:ascii="仿宋_GB2312" w:hAnsi="黑体" w:eastAsia="仿宋_GB2312"/>
                <w:szCs w:val="21"/>
              </w:rPr>
            </w:pPr>
          </w:p>
        </w:tc>
        <w:tc>
          <w:tcPr>
            <w:tcW w:w="1453" w:type="dxa"/>
          </w:tcPr>
          <w:p w14:paraId="4BEEFA37">
            <w:pPr>
              <w:widowControl/>
              <w:jc w:val="left"/>
              <w:rPr>
                <w:rFonts w:ascii="仿宋_GB2312" w:hAnsi="黑体" w:eastAsia="仿宋_GB2312"/>
                <w:szCs w:val="21"/>
              </w:rPr>
            </w:pPr>
          </w:p>
        </w:tc>
        <w:tc>
          <w:tcPr>
            <w:tcW w:w="1910" w:type="dxa"/>
          </w:tcPr>
          <w:p w14:paraId="27F80C91">
            <w:pPr>
              <w:widowControl/>
              <w:jc w:val="left"/>
              <w:rPr>
                <w:rFonts w:ascii="仿宋_GB2312" w:hAnsi="黑体" w:eastAsia="仿宋_GB2312"/>
                <w:szCs w:val="21"/>
              </w:rPr>
            </w:pPr>
          </w:p>
        </w:tc>
        <w:tc>
          <w:tcPr>
            <w:tcW w:w="1604" w:type="dxa"/>
          </w:tcPr>
          <w:p w14:paraId="760D6DCE">
            <w:pPr>
              <w:widowControl/>
              <w:jc w:val="left"/>
              <w:rPr>
                <w:rFonts w:ascii="仿宋_GB2312" w:hAnsi="黑体" w:eastAsia="仿宋_GB2312"/>
                <w:szCs w:val="21"/>
              </w:rPr>
            </w:pPr>
          </w:p>
        </w:tc>
        <w:tc>
          <w:tcPr>
            <w:tcW w:w="1938" w:type="dxa"/>
          </w:tcPr>
          <w:p w14:paraId="6B86AE76">
            <w:pPr>
              <w:widowControl/>
              <w:jc w:val="left"/>
              <w:rPr>
                <w:rFonts w:ascii="仿宋_GB2312" w:hAnsi="黑体" w:eastAsia="仿宋_GB2312"/>
                <w:szCs w:val="21"/>
              </w:rPr>
            </w:pPr>
          </w:p>
        </w:tc>
        <w:tc>
          <w:tcPr>
            <w:tcW w:w="2139" w:type="dxa"/>
          </w:tcPr>
          <w:p w14:paraId="194320A8">
            <w:pPr>
              <w:widowControl/>
              <w:jc w:val="left"/>
              <w:rPr>
                <w:rFonts w:ascii="仿宋_GB2312" w:hAnsi="黑体" w:eastAsia="仿宋_GB2312"/>
                <w:szCs w:val="21"/>
              </w:rPr>
            </w:pPr>
          </w:p>
        </w:tc>
        <w:tc>
          <w:tcPr>
            <w:tcW w:w="2355" w:type="dxa"/>
          </w:tcPr>
          <w:p w14:paraId="0DB00CA9">
            <w:pPr>
              <w:widowControl/>
              <w:jc w:val="left"/>
              <w:rPr>
                <w:rFonts w:ascii="仿宋_GB2312" w:hAnsi="黑体" w:eastAsia="仿宋_GB2312"/>
                <w:szCs w:val="21"/>
              </w:rPr>
            </w:pPr>
          </w:p>
        </w:tc>
        <w:tc>
          <w:tcPr>
            <w:tcW w:w="719" w:type="dxa"/>
            <w:vAlign w:val="center"/>
          </w:tcPr>
          <w:p w14:paraId="7614D2C8">
            <w:pPr>
              <w:widowControl/>
              <w:jc w:val="center"/>
              <w:rPr>
                <w:rFonts w:ascii="仿宋_GB2312" w:hAnsi="黑体" w:eastAsia="仿宋_GB2312"/>
                <w:szCs w:val="21"/>
              </w:rPr>
            </w:pPr>
          </w:p>
        </w:tc>
      </w:tr>
      <w:tr w14:paraId="3D11B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477" w:type="dxa"/>
            <w:vAlign w:val="center"/>
          </w:tcPr>
          <w:p w14:paraId="0FDA503F">
            <w:pPr>
              <w:widowControl/>
              <w:jc w:val="center"/>
              <w:rPr>
                <w:rFonts w:ascii="仿宋_GB2312" w:hAnsi="黑体" w:eastAsia="仿宋_GB2312"/>
                <w:szCs w:val="21"/>
              </w:rPr>
            </w:pPr>
            <w:r>
              <w:rPr>
                <w:rFonts w:hint="eastAsia" w:ascii="仿宋_GB2312" w:hAnsi="黑体" w:eastAsia="仿宋_GB2312"/>
                <w:szCs w:val="21"/>
              </w:rPr>
              <w:t>10</w:t>
            </w:r>
          </w:p>
        </w:tc>
        <w:tc>
          <w:tcPr>
            <w:tcW w:w="902" w:type="dxa"/>
          </w:tcPr>
          <w:p w14:paraId="74FF8DE6">
            <w:pPr>
              <w:widowControl/>
              <w:jc w:val="left"/>
              <w:rPr>
                <w:rFonts w:ascii="仿宋_GB2312" w:hAnsi="黑体" w:eastAsia="仿宋_GB2312"/>
                <w:szCs w:val="21"/>
              </w:rPr>
            </w:pPr>
          </w:p>
        </w:tc>
        <w:tc>
          <w:tcPr>
            <w:tcW w:w="1395" w:type="dxa"/>
          </w:tcPr>
          <w:p w14:paraId="0DBF340F">
            <w:pPr>
              <w:widowControl/>
              <w:jc w:val="left"/>
              <w:rPr>
                <w:rFonts w:ascii="仿宋_GB2312" w:hAnsi="黑体" w:eastAsia="仿宋_GB2312"/>
                <w:szCs w:val="21"/>
              </w:rPr>
            </w:pPr>
          </w:p>
        </w:tc>
        <w:tc>
          <w:tcPr>
            <w:tcW w:w="1453" w:type="dxa"/>
          </w:tcPr>
          <w:p w14:paraId="71F6ED3D">
            <w:pPr>
              <w:widowControl/>
              <w:jc w:val="left"/>
              <w:rPr>
                <w:rFonts w:ascii="仿宋_GB2312" w:hAnsi="黑体" w:eastAsia="仿宋_GB2312"/>
                <w:szCs w:val="21"/>
              </w:rPr>
            </w:pPr>
          </w:p>
        </w:tc>
        <w:tc>
          <w:tcPr>
            <w:tcW w:w="1910" w:type="dxa"/>
          </w:tcPr>
          <w:p w14:paraId="0B0A87CA">
            <w:pPr>
              <w:widowControl/>
              <w:jc w:val="left"/>
              <w:rPr>
                <w:rFonts w:ascii="仿宋_GB2312" w:hAnsi="黑体" w:eastAsia="仿宋_GB2312"/>
                <w:szCs w:val="21"/>
              </w:rPr>
            </w:pPr>
          </w:p>
        </w:tc>
        <w:tc>
          <w:tcPr>
            <w:tcW w:w="1604" w:type="dxa"/>
          </w:tcPr>
          <w:p w14:paraId="038590D4">
            <w:pPr>
              <w:widowControl/>
              <w:jc w:val="left"/>
              <w:rPr>
                <w:rFonts w:ascii="仿宋_GB2312" w:hAnsi="黑体" w:eastAsia="仿宋_GB2312"/>
                <w:szCs w:val="21"/>
              </w:rPr>
            </w:pPr>
          </w:p>
        </w:tc>
        <w:tc>
          <w:tcPr>
            <w:tcW w:w="1938" w:type="dxa"/>
          </w:tcPr>
          <w:p w14:paraId="38E9A58A">
            <w:pPr>
              <w:widowControl/>
              <w:jc w:val="left"/>
              <w:rPr>
                <w:rFonts w:ascii="仿宋_GB2312" w:hAnsi="黑体" w:eastAsia="仿宋_GB2312"/>
                <w:szCs w:val="21"/>
              </w:rPr>
            </w:pPr>
          </w:p>
        </w:tc>
        <w:tc>
          <w:tcPr>
            <w:tcW w:w="2139" w:type="dxa"/>
          </w:tcPr>
          <w:p w14:paraId="35FCC46B">
            <w:pPr>
              <w:widowControl/>
              <w:jc w:val="left"/>
              <w:rPr>
                <w:rFonts w:ascii="仿宋_GB2312" w:hAnsi="黑体" w:eastAsia="仿宋_GB2312"/>
                <w:szCs w:val="21"/>
              </w:rPr>
            </w:pPr>
          </w:p>
        </w:tc>
        <w:tc>
          <w:tcPr>
            <w:tcW w:w="2355" w:type="dxa"/>
          </w:tcPr>
          <w:p w14:paraId="213C6136">
            <w:pPr>
              <w:widowControl/>
              <w:jc w:val="left"/>
              <w:rPr>
                <w:rFonts w:ascii="仿宋_GB2312" w:hAnsi="黑体" w:eastAsia="仿宋_GB2312"/>
                <w:szCs w:val="21"/>
              </w:rPr>
            </w:pPr>
          </w:p>
        </w:tc>
        <w:tc>
          <w:tcPr>
            <w:tcW w:w="719" w:type="dxa"/>
            <w:vAlign w:val="center"/>
          </w:tcPr>
          <w:p w14:paraId="4630D3D6">
            <w:pPr>
              <w:widowControl/>
              <w:jc w:val="center"/>
              <w:rPr>
                <w:rFonts w:ascii="仿宋_GB2312" w:hAnsi="黑体" w:eastAsia="仿宋_GB2312"/>
                <w:szCs w:val="21"/>
              </w:rPr>
            </w:pPr>
          </w:p>
        </w:tc>
      </w:tr>
    </w:tbl>
    <w:p w14:paraId="6B9BC407">
      <w:pPr>
        <w:widowControl/>
        <w:jc w:val="left"/>
        <w:rPr>
          <w:rFonts w:ascii="仿宋_GB2312" w:hAnsi="黑体" w:eastAsia="仿宋_GB2312"/>
          <w:sz w:val="32"/>
          <w:szCs w:val="32"/>
        </w:rPr>
      </w:pPr>
      <w:r>
        <w:rPr>
          <w:rFonts w:hint="eastAsia" w:ascii="楷体_GB2312" w:eastAsia="楷体_GB2312"/>
        </w:rPr>
        <w:t>备注：合计分值应与福建省科技特派员服务云平台评价分值一致。评价等级：①优：36-40分；②良：32-35分；③中：28-31分；④合格：24-27分；⑤不合格：小于24分。如果服务内容不属实，不得分。</w:t>
      </w:r>
    </w:p>
    <w:p w14:paraId="209269B0">
      <w:pPr>
        <w:sectPr>
          <w:pgSz w:w="16838" w:h="11906" w:orient="landscape"/>
          <w:pgMar w:top="1797" w:right="1440" w:bottom="1797" w:left="1440" w:header="851" w:footer="992" w:gutter="0"/>
          <w:pgNumType w:fmt="numberInDash"/>
          <w:cols w:space="720" w:num="1"/>
          <w:docGrid w:type="linesAndChars" w:linePitch="312" w:charSpace="0"/>
        </w:sectPr>
      </w:pPr>
    </w:p>
    <w:p w14:paraId="2BAFD93D">
      <w:pPr>
        <w:rPr>
          <w:rFonts w:hint="eastAsia"/>
          <w:b/>
          <w:sz w:val="32"/>
          <w:szCs w:val="32"/>
        </w:rPr>
      </w:pPr>
      <w:r>
        <w:rPr>
          <w:rFonts w:hint="eastAsia"/>
          <w:b/>
          <w:sz w:val="32"/>
          <w:szCs w:val="32"/>
        </w:rPr>
        <w:t>附件5</w:t>
      </w:r>
    </w:p>
    <w:p w14:paraId="712D0509">
      <w:pPr>
        <w:widowControl/>
        <w:spacing w:line="640" w:lineRule="exact"/>
        <w:jc w:val="center"/>
        <w:rPr>
          <w:rFonts w:hint="eastAsia" w:ascii="方正小标宋简体" w:hAnsi="方正小标宋_GBK" w:eastAsia="方正小标宋简体" w:cs="方正小标宋_GBK"/>
          <w:kern w:val="0"/>
          <w:sz w:val="44"/>
          <w:szCs w:val="44"/>
        </w:rPr>
      </w:pPr>
      <w:bookmarkStart w:id="3" w:name="OLE_LINK10"/>
      <w:bookmarkStart w:id="4" w:name="OLE_LINK9"/>
      <w:r>
        <w:rPr>
          <w:rFonts w:hint="eastAsia" w:ascii="方正小标宋简体" w:hAnsi="方正小标宋_GBK" w:eastAsia="方正小标宋简体" w:cs="方正小标宋_GBK"/>
          <w:kern w:val="0"/>
          <w:sz w:val="44"/>
          <w:szCs w:val="44"/>
        </w:rPr>
        <w:t>2026-2027年度省级科技特派员及被服务对象年度考核操作指南</w:t>
      </w:r>
    </w:p>
    <w:bookmarkEnd w:id="3"/>
    <w:bookmarkEnd w:id="4"/>
    <w:p w14:paraId="39E3B15F">
      <w:pPr>
        <w:widowControl/>
        <w:ind w:firstLine="210"/>
        <w:jc w:val="center"/>
        <w:rPr>
          <w:rFonts w:hint="eastAsia" w:ascii="Calibri" w:hAnsi="Calibri" w:cs="宋体"/>
          <w:kern w:val="0"/>
          <w:sz w:val="20"/>
          <w:szCs w:val="20"/>
        </w:rPr>
      </w:pPr>
      <w:r>
        <w:rPr>
          <w:rFonts w:ascii="Calibri" w:hAnsi="Calibri" w:cs="宋体"/>
          <w:kern w:val="0"/>
          <w:sz w:val="20"/>
          <w:szCs w:val="20"/>
        </w:rPr>
        <w:t xml:space="preserve"> </w:t>
      </w:r>
      <w:r>
        <w:rPr>
          <w:rFonts w:hint="eastAsia" w:ascii="Calibri" w:hAnsi="Calibri" w:cs="宋体"/>
          <w:kern w:val="0"/>
          <w:sz w:val="20"/>
          <w:szCs w:val="20"/>
        </w:rPr>
        <w:drawing>
          <wp:inline distT="0" distB="0" distL="0" distR="0">
            <wp:extent cx="2622550" cy="2622550"/>
            <wp:effectExtent l="19050" t="0" r="6350" b="0"/>
            <wp:docPr id="2" name="图片 20" descr="科特派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0" descr="科特派二维码"/>
                    <pic:cNvPicPr>
                      <a:picLocks noChangeAspect="1" noChangeArrowheads="1"/>
                    </pic:cNvPicPr>
                  </pic:nvPicPr>
                  <pic:blipFill>
                    <a:blip r:embed="rId11"/>
                    <a:srcRect/>
                    <a:stretch>
                      <a:fillRect/>
                    </a:stretch>
                  </pic:blipFill>
                  <pic:spPr>
                    <a:xfrm>
                      <a:off x="0" y="0"/>
                      <a:ext cx="2622550" cy="2622550"/>
                    </a:xfrm>
                    <a:prstGeom prst="rect">
                      <a:avLst/>
                    </a:prstGeom>
                    <a:noFill/>
                    <a:ln w="9525" cmpd="sng">
                      <a:noFill/>
                      <a:miter lim="800000"/>
                      <a:headEnd/>
                      <a:tailEnd/>
                    </a:ln>
                  </pic:spPr>
                </pic:pic>
              </a:graphicData>
            </a:graphic>
          </wp:inline>
        </w:drawing>
      </w:r>
    </w:p>
    <w:p w14:paraId="372E03E4">
      <w:pPr>
        <w:widowControl/>
        <w:ind w:firstLine="210"/>
        <w:jc w:val="center"/>
        <w:rPr>
          <w:rFonts w:hint="eastAsia" w:ascii="宋体" w:hAnsi="宋体" w:cs="宋体"/>
          <w:kern w:val="0"/>
          <w:sz w:val="20"/>
          <w:szCs w:val="20"/>
        </w:rPr>
      </w:pPr>
      <w:r>
        <w:rPr>
          <w:rFonts w:hint="eastAsia" w:ascii="宋体" w:hAnsi="宋体" w:cs="宋体"/>
          <w:kern w:val="0"/>
          <w:sz w:val="20"/>
          <w:szCs w:val="20"/>
        </w:rPr>
        <w:t>请先关注“福建科特派”微信公众号</w:t>
      </w:r>
    </w:p>
    <w:p w14:paraId="59C3345D">
      <w:pPr>
        <w:pStyle w:val="10"/>
        <w:ind w:firstLine="200"/>
        <w:rPr>
          <w:rFonts w:hint="eastAsia" w:ascii="宋体" w:hAnsi="宋体" w:cs="宋体"/>
        </w:rPr>
      </w:pPr>
    </w:p>
    <w:p w14:paraId="4A2AAF96">
      <w:pPr>
        <w:widowControl/>
        <w:rPr>
          <w:rFonts w:hint="eastAsia" w:ascii="黑体" w:hAnsi="宋体" w:eastAsia="黑体" w:cs="宋体"/>
          <w:bCs/>
          <w:kern w:val="0"/>
          <w:sz w:val="32"/>
          <w:szCs w:val="32"/>
        </w:rPr>
      </w:pPr>
      <w:r>
        <w:rPr>
          <w:rFonts w:hint="eastAsia" w:ascii="黑体" w:hAnsi="宋体" w:eastAsia="黑体" w:cs="宋体"/>
          <w:bCs/>
          <w:kern w:val="0"/>
          <w:sz w:val="32"/>
          <w:szCs w:val="32"/>
        </w:rPr>
        <w:t xml:space="preserve">    一、省级科技特派员操作指南</w:t>
      </w:r>
    </w:p>
    <w:p w14:paraId="032E875F">
      <w:pPr>
        <w:widowControl/>
        <w:numPr>
          <w:ilvl w:val="0"/>
          <w:numId w:val="3"/>
        </w:numPr>
        <w:spacing w:line="540" w:lineRule="exact"/>
        <w:ind w:firstLine="643" w:firstLineChars="200"/>
        <w:rPr>
          <w:rFonts w:hint="eastAsia" w:ascii="仿宋_GB2312" w:hAnsi="宋体" w:eastAsia="仿宋_GB2312" w:cs="宋体"/>
          <w:b/>
          <w:bCs/>
          <w:kern w:val="0"/>
          <w:sz w:val="32"/>
          <w:szCs w:val="32"/>
        </w:rPr>
      </w:pPr>
      <w:r>
        <w:rPr>
          <w:rFonts w:hint="eastAsia" w:ascii="仿宋_GB2312" w:hAnsi="宋体" w:eastAsia="仿宋_GB2312" w:cs="宋体"/>
          <w:b/>
          <w:bCs/>
          <w:kern w:val="0"/>
          <w:sz w:val="32"/>
          <w:szCs w:val="32"/>
        </w:rPr>
        <w:t>履职情况</w:t>
      </w:r>
    </w:p>
    <w:p w14:paraId="58751AE0">
      <w:pPr>
        <w:widowControl/>
        <w:spacing w:line="540" w:lineRule="exact"/>
        <w:ind w:firstLine="643" w:firstLineChars="200"/>
        <w:rPr>
          <w:rFonts w:hint="eastAsia" w:ascii="仿宋_GB2312" w:hAnsi="宋体" w:eastAsia="仿宋_GB2312" w:cs="宋体"/>
          <w:b/>
          <w:bCs/>
          <w:kern w:val="0"/>
          <w:sz w:val="32"/>
          <w:szCs w:val="32"/>
        </w:rPr>
      </w:pPr>
      <w:r>
        <w:rPr>
          <w:rFonts w:hint="eastAsia" w:ascii="仿宋_GB2312" w:hAnsi="宋体" w:eastAsia="仿宋_GB2312" w:cs="宋体"/>
          <w:b/>
          <w:bCs/>
          <w:kern w:val="0"/>
          <w:sz w:val="32"/>
          <w:szCs w:val="32"/>
        </w:rPr>
        <w:t>1.现场实地服务：发布工作日志（开展现场实地服务时进行记录）</w:t>
      </w:r>
    </w:p>
    <w:p w14:paraId="662D1817">
      <w:pPr>
        <w:pStyle w:val="10"/>
        <w:spacing w:after="0" w:line="540" w:lineRule="exact"/>
        <w:ind w:firstLine="643" w:firstLineChars="200"/>
        <w:rPr>
          <w:rFonts w:hint="eastAsia" w:ascii="仿宋_GB2312" w:hAnsi="宋体" w:eastAsia="仿宋_GB2312" w:cs="宋体"/>
          <w:color w:val="000000"/>
          <w:sz w:val="32"/>
          <w:szCs w:val="32"/>
        </w:rPr>
      </w:pPr>
      <w:r>
        <w:rPr>
          <w:rFonts w:hint="eastAsia" w:ascii="仿宋_GB2312" w:hAnsi="宋体" w:eastAsia="仿宋_GB2312" w:cs="宋体"/>
          <w:b/>
          <w:bCs/>
          <w:color w:val="000000"/>
          <w:sz w:val="32"/>
          <w:szCs w:val="32"/>
        </w:rPr>
        <w:t>期中考核要求：</w:t>
      </w:r>
      <w:r>
        <w:rPr>
          <w:rFonts w:hint="eastAsia" w:ascii="仿宋_GB2312" w:hAnsi="宋体" w:eastAsia="仿宋_GB2312" w:cs="宋体"/>
          <w:color w:val="000000"/>
          <w:sz w:val="32"/>
          <w:szCs w:val="32"/>
        </w:rPr>
        <w:t>省内科技特派员开展现场实地服务累计6天以上（含6天）即为合格；省外科技特派员（包含服务省外及港澳台外籍科特派）开展现场实地服务累计3天以上（含3天）即为合格。</w:t>
      </w:r>
    </w:p>
    <w:p w14:paraId="2094AE2B">
      <w:pPr>
        <w:pStyle w:val="10"/>
        <w:spacing w:after="0" w:line="540" w:lineRule="exact"/>
        <w:ind w:firstLine="643" w:firstLineChars="200"/>
        <w:rPr>
          <w:rFonts w:hint="eastAsia" w:ascii="仿宋_GB2312" w:hAnsi="宋体" w:eastAsia="仿宋_GB2312" w:cs="宋体"/>
          <w:color w:val="000000"/>
          <w:sz w:val="32"/>
          <w:szCs w:val="32"/>
        </w:rPr>
      </w:pPr>
      <w:r>
        <w:rPr>
          <w:rFonts w:hint="eastAsia" w:ascii="仿宋_GB2312" w:hAnsi="宋体" w:eastAsia="仿宋_GB2312" w:cs="宋体"/>
          <w:b/>
          <w:bCs/>
          <w:color w:val="000000"/>
          <w:sz w:val="32"/>
          <w:szCs w:val="32"/>
        </w:rPr>
        <w:t>期满考核要求：</w:t>
      </w:r>
      <w:r>
        <w:rPr>
          <w:rFonts w:hint="eastAsia" w:ascii="仿宋_GB2312" w:hAnsi="宋体" w:eastAsia="仿宋_GB2312" w:cs="宋体"/>
          <w:color w:val="000000"/>
          <w:sz w:val="32"/>
          <w:szCs w:val="32"/>
        </w:rPr>
        <w:t>个人科技特派员开展现场实地服务累计20天，1天计0.75分，满分15分（省外科技特派员开展现场实地服务累计10天，1天计1.5分，满分15分）。</w:t>
      </w:r>
    </w:p>
    <w:p w14:paraId="206B8619">
      <w:pPr>
        <w:pStyle w:val="10"/>
        <w:spacing w:after="0" w:line="54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（1）发布工作日志需要先开启手机定位服务，系统会获取当前位置信息记录服务所在地位置等情况，生成工作记录，应用于考核中。</w:t>
      </w:r>
    </w:p>
    <w:p w14:paraId="79AB800B">
      <w:pPr>
        <w:widowControl/>
        <w:spacing w:line="540" w:lineRule="exact"/>
        <w:ind w:left="210" w:firstLine="640" w:firstLineChars="200"/>
        <w:rPr>
          <w:rFonts w:hint="eastAsia" w:ascii="仿宋_GB2312" w:hAnsi="Calibri" w:eastAsia="仿宋_GB2312" w:cs="宋体"/>
          <w:kern w:val="0"/>
          <w:sz w:val="32"/>
          <w:szCs w:val="32"/>
        </w:rPr>
      </w:pPr>
      <w:r>
        <w:rPr>
          <w:rFonts w:hint="eastAsia" w:ascii="仿宋_GB2312" w:hAnsi="宋体" w:eastAsia="仿宋_GB2312" w:cs="宋体"/>
          <w:kern w:val="0"/>
          <w:sz w:val="32"/>
          <w:szCs w:val="32"/>
        </w:rPr>
        <w:t>在“我的工作室”中选择发布工作日志：</w:t>
      </w:r>
    </w:p>
    <w:p w14:paraId="7571CB34">
      <w:pPr>
        <w:widowControl/>
        <w:ind w:firstLine="210"/>
        <w:jc w:val="center"/>
        <w:rPr>
          <w:rFonts w:ascii="Calibri" w:hAnsi="Calibri" w:cs="宋体"/>
          <w:kern w:val="0"/>
          <w:sz w:val="20"/>
          <w:szCs w:val="20"/>
        </w:rPr>
      </w:pPr>
      <w:r>
        <w:rPr>
          <w:rFonts w:ascii="Calibri" w:hAnsi="Calibri" w:cs="宋体"/>
          <w:kern w:val="0"/>
          <w:sz w:val="20"/>
          <w:szCs w:val="20"/>
        </w:rPr>
        <w:drawing>
          <wp:inline distT="0" distB="0" distL="0" distR="0">
            <wp:extent cx="4235450" cy="4064000"/>
            <wp:effectExtent l="19050" t="0" r="0" b="0"/>
            <wp:docPr id="3" name="图片 8" descr="wps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 descr="wps114"/>
                    <pic:cNvPicPr>
                      <a:picLocks noChangeAspect="1" noChangeArrowheads="1"/>
                    </pic:cNvPicPr>
                  </pic:nvPicPr>
                  <pic:blipFill>
                    <a:blip r:embed="rId12"/>
                    <a:srcRect/>
                    <a:stretch>
                      <a:fillRect/>
                    </a:stretch>
                  </pic:blipFill>
                  <pic:spPr>
                    <a:xfrm>
                      <a:off x="0" y="0"/>
                      <a:ext cx="4235450" cy="4064000"/>
                    </a:xfrm>
                    <a:prstGeom prst="rect">
                      <a:avLst/>
                    </a:prstGeom>
                    <a:noFill/>
                    <a:ln w="9525" cmpd="sng">
                      <a:noFill/>
                      <a:miter lim="800000"/>
                      <a:headEnd/>
                      <a:tailEnd/>
                    </a:ln>
                    <a:effectLst/>
                  </pic:spPr>
                </pic:pic>
              </a:graphicData>
            </a:graphic>
          </wp:inline>
        </w:drawing>
      </w:r>
      <w:r>
        <w:rPr>
          <w:rFonts w:ascii="Calibri" w:hAnsi="Calibri" w:cs="宋体"/>
          <w:kern w:val="0"/>
          <w:sz w:val="20"/>
          <w:szCs w:val="20"/>
        </w:rPr>
        <w:t xml:space="preserve"> </w:t>
      </w:r>
    </w:p>
    <w:p w14:paraId="2A74288A">
      <w:pPr>
        <w:pStyle w:val="10"/>
        <w:ind w:firstLine="200"/>
      </w:pPr>
    </w:p>
    <w:p w14:paraId="26A5A18E">
      <w:pPr>
        <w:pStyle w:val="10"/>
        <w:ind w:firstLine="200"/>
      </w:pPr>
    </w:p>
    <w:p w14:paraId="5733163B">
      <w:pPr>
        <w:widowControl/>
        <w:ind w:firstLine="210"/>
        <w:jc w:val="center"/>
        <w:rPr>
          <w:rFonts w:ascii="Calibri" w:hAnsi="Calibri" w:cs="宋体"/>
          <w:kern w:val="0"/>
          <w:sz w:val="20"/>
          <w:szCs w:val="20"/>
        </w:rPr>
      </w:pPr>
      <w:r>
        <w:rPr>
          <w:rFonts w:ascii="Calibri" w:hAnsi="Calibri" w:cs="宋体"/>
          <w:kern w:val="0"/>
          <w:sz w:val="20"/>
          <w:szCs w:val="20"/>
        </w:rPr>
        <w:drawing>
          <wp:inline distT="0" distB="0" distL="0" distR="0">
            <wp:extent cx="4432300" cy="3111500"/>
            <wp:effectExtent l="19050" t="0" r="6350" b="0"/>
            <wp:docPr id="4" name="图片 9" descr="wps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9" descr="wps115"/>
                    <pic:cNvPicPr>
                      <a:picLocks noChangeAspect="1" noChangeArrowheads="1"/>
                    </pic:cNvPicPr>
                  </pic:nvPicPr>
                  <pic:blipFill>
                    <a:blip r:embed="rId13"/>
                    <a:srcRect/>
                    <a:stretch>
                      <a:fillRect/>
                    </a:stretch>
                  </pic:blipFill>
                  <pic:spPr>
                    <a:xfrm>
                      <a:off x="0" y="0"/>
                      <a:ext cx="4432300" cy="3111500"/>
                    </a:xfrm>
                    <a:prstGeom prst="rect">
                      <a:avLst/>
                    </a:prstGeom>
                    <a:noFill/>
                    <a:ln w="9525" cmpd="sng">
                      <a:noFill/>
                      <a:miter lim="800000"/>
                      <a:headEnd/>
                      <a:tailEnd/>
                    </a:ln>
                    <a:effectLst/>
                  </pic:spPr>
                </pic:pic>
              </a:graphicData>
            </a:graphic>
          </wp:inline>
        </w:drawing>
      </w:r>
    </w:p>
    <w:p w14:paraId="32A5FB25">
      <w:pPr>
        <w:pStyle w:val="10"/>
        <w:ind w:firstLine="200"/>
        <w:rPr>
          <w:rFonts w:cs="宋体"/>
        </w:rPr>
      </w:pPr>
    </w:p>
    <w:p w14:paraId="37E6BEA3">
      <w:pPr>
        <w:pStyle w:val="10"/>
        <w:ind w:firstLine="200"/>
        <w:rPr>
          <w:rFonts w:cs="宋体"/>
        </w:rPr>
      </w:pPr>
    </w:p>
    <w:p w14:paraId="6A3447A6">
      <w:pPr>
        <w:pStyle w:val="10"/>
        <w:ind w:firstLine="200"/>
        <w:rPr>
          <w:rFonts w:cs="宋体"/>
        </w:rPr>
      </w:pPr>
    </w:p>
    <w:p w14:paraId="25A3E28D">
      <w:pPr>
        <w:widowControl/>
        <w:spacing w:line="54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（2）如未提前打开位置权限，请重新设置：</w:t>
      </w:r>
    </w:p>
    <w:p w14:paraId="6B74F58A">
      <w:pPr>
        <w:widowControl/>
        <w:ind w:firstLine="210"/>
        <w:rPr>
          <w:rFonts w:ascii="Calibri" w:hAnsi="Calibri" w:cs="宋体"/>
          <w:kern w:val="0"/>
          <w:sz w:val="20"/>
          <w:szCs w:val="20"/>
        </w:rPr>
      </w:pPr>
      <w:r>
        <w:rPr>
          <w:rFonts w:ascii="Calibri" w:hAnsi="Calibri" w:cs="宋体"/>
          <w:kern w:val="0"/>
          <w:sz w:val="20"/>
          <w:szCs w:val="20"/>
        </w:rPr>
        <w:drawing>
          <wp:inline distT="0" distB="0" distL="0" distR="0">
            <wp:extent cx="4362450" cy="2108200"/>
            <wp:effectExtent l="19050" t="0" r="0" b="0"/>
            <wp:docPr id="5" name="图片 20" descr="wps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0" descr="wps116"/>
                    <pic:cNvPicPr>
                      <a:picLocks noChangeAspect="1" noChangeArrowheads="1"/>
                    </pic:cNvPicPr>
                  </pic:nvPicPr>
                  <pic:blipFill>
                    <a:blip r:embed="rId14"/>
                    <a:srcRect/>
                    <a:stretch>
                      <a:fillRect/>
                    </a:stretch>
                  </pic:blipFill>
                  <pic:spPr>
                    <a:xfrm>
                      <a:off x="0" y="0"/>
                      <a:ext cx="4362450" cy="2108200"/>
                    </a:xfrm>
                    <a:prstGeom prst="rect">
                      <a:avLst/>
                    </a:prstGeom>
                    <a:noFill/>
                    <a:ln w="9525" cmpd="sng">
                      <a:noFill/>
                      <a:miter lim="800000"/>
                      <a:headEnd/>
                      <a:tailEnd/>
                    </a:ln>
                    <a:effectLst/>
                  </pic:spPr>
                </pic:pic>
              </a:graphicData>
            </a:graphic>
          </wp:inline>
        </w:drawing>
      </w:r>
    </w:p>
    <w:p w14:paraId="478988E0">
      <w:pPr>
        <w:widowControl/>
        <w:spacing w:line="54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2.线上服务：开展线上服务时进行记录。</w:t>
      </w:r>
    </w:p>
    <w:p w14:paraId="067B869F">
      <w:pPr>
        <w:widowControl/>
        <w:spacing w:line="540" w:lineRule="exact"/>
        <w:ind w:firstLine="643" w:firstLineChars="200"/>
        <w:rPr>
          <w:rFonts w:hint="eastAsia" w:ascii="仿宋_GB2312" w:hAnsi="宋体" w:eastAsia="仿宋_GB2312" w:cs="宋体"/>
          <w:kern w:val="0"/>
          <w:sz w:val="32"/>
          <w:szCs w:val="32"/>
        </w:rPr>
      </w:pPr>
      <w:r>
        <w:rPr>
          <w:rFonts w:hint="eastAsia" w:ascii="仿宋_GB2312" w:hAnsi="宋体" w:eastAsia="仿宋_GB2312" w:cs="宋体"/>
          <w:b/>
          <w:bCs/>
          <w:color w:val="000000"/>
          <w:kern w:val="0"/>
          <w:sz w:val="32"/>
          <w:szCs w:val="32"/>
        </w:rPr>
        <w:t>期满考核要求：</w:t>
      </w:r>
      <w:r>
        <w:rPr>
          <w:rFonts w:hint="eastAsia" w:ascii="仿宋_GB2312" w:hAnsi="宋体" w:eastAsia="仿宋_GB2312" w:cs="宋体"/>
          <w:kern w:val="0"/>
          <w:sz w:val="32"/>
          <w:szCs w:val="32"/>
        </w:rPr>
        <w:t>个人科技特派员通过云服务平台开展科技服务，在线时长大于等于100小时计5分，在线时长大于等于50小时计3分，在线时长大于等于10小时计1分。</w:t>
      </w:r>
    </w:p>
    <w:p w14:paraId="5B6A5E9C">
      <w:pPr>
        <w:widowControl/>
        <w:spacing w:line="540" w:lineRule="exact"/>
        <w:ind w:firstLine="643" w:firstLineChars="200"/>
        <w:rPr>
          <w:rFonts w:hint="eastAsia" w:ascii="仿宋_GB2312" w:hAnsi="宋体" w:eastAsia="仿宋_GB2312" w:cs="宋体"/>
          <w:b/>
          <w:bCs/>
          <w:kern w:val="0"/>
          <w:sz w:val="32"/>
          <w:szCs w:val="32"/>
        </w:rPr>
      </w:pPr>
      <w:r>
        <w:rPr>
          <w:rFonts w:hint="eastAsia" w:ascii="仿宋_GB2312" w:hAnsi="宋体" w:eastAsia="仿宋_GB2312" w:cs="宋体"/>
          <w:b/>
          <w:bCs/>
          <w:kern w:val="0"/>
          <w:sz w:val="32"/>
          <w:szCs w:val="32"/>
        </w:rPr>
        <w:t>（1）进入专家工作室</w:t>
      </w:r>
    </w:p>
    <w:p w14:paraId="1F79BC01">
      <w:pPr>
        <w:widowControl/>
        <w:spacing w:line="54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打开“福建科特派”公众号，点击导航栏“科特派-专家工作室”进入小程序，点击小程序首页“我的工作室”进入工作室；</w:t>
      </w:r>
    </w:p>
    <w:p w14:paraId="4D0B5817">
      <w:pPr>
        <w:widowControl/>
        <w:ind w:firstLine="210"/>
        <w:jc w:val="center"/>
        <w:rPr>
          <w:rFonts w:hint="eastAsia" w:ascii="宋体" w:hAnsi="宋体" w:cs="宋体"/>
          <w:b/>
          <w:bCs/>
          <w:kern w:val="0"/>
          <w:sz w:val="28"/>
          <w:szCs w:val="28"/>
        </w:rPr>
      </w:pPr>
      <w:r>
        <w:rPr>
          <w:rFonts w:ascii="Calibri" w:hAnsi="Calibri" w:cs="宋体"/>
          <w:kern w:val="0"/>
          <w:sz w:val="20"/>
          <w:szCs w:val="20"/>
        </w:rPr>
        <w:drawing>
          <wp:inline distT="0" distB="0" distL="0" distR="0">
            <wp:extent cx="1739900" cy="3340100"/>
            <wp:effectExtent l="19050" t="0" r="0" b="0"/>
            <wp:docPr id="6" name="图片 2" descr="wps1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wps10E"/>
                    <pic:cNvPicPr>
                      <a:picLocks noChangeAspect="1" noChangeArrowheads="1"/>
                    </pic:cNvPicPr>
                  </pic:nvPicPr>
                  <pic:blipFill>
                    <a:blip r:embed="rId15"/>
                    <a:srcRect/>
                    <a:stretch>
                      <a:fillRect/>
                    </a:stretch>
                  </pic:blipFill>
                  <pic:spPr>
                    <a:xfrm>
                      <a:off x="0" y="0"/>
                      <a:ext cx="1739900" cy="3340100"/>
                    </a:xfrm>
                    <a:prstGeom prst="rect">
                      <a:avLst/>
                    </a:prstGeom>
                    <a:noFill/>
                    <a:ln w="9525" cmpd="sng">
                      <a:noFill/>
                      <a:miter lim="800000"/>
                      <a:headEnd/>
                      <a:tailEnd/>
                    </a:ln>
                    <a:effectLst/>
                  </pic:spPr>
                </pic:pic>
              </a:graphicData>
            </a:graphic>
          </wp:inline>
        </w:drawing>
      </w:r>
      <w:r>
        <w:drawing>
          <wp:inline distT="0" distB="0" distL="0" distR="0">
            <wp:extent cx="1631950" cy="3263900"/>
            <wp:effectExtent l="19050" t="0" r="6350" b="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noChangeArrowheads="1"/>
                    </pic:cNvPicPr>
                  </pic:nvPicPr>
                  <pic:blipFill>
                    <a:blip r:embed="rId16" cstate="print"/>
                    <a:srcRect/>
                    <a:stretch>
                      <a:fillRect/>
                    </a:stretch>
                  </pic:blipFill>
                  <pic:spPr>
                    <a:xfrm>
                      <a:off x="0" y="0"/>
                      <a:ext cx="1631950" cy="3263900"/>
                    </a:xfrm>
                    <a:prstGeom prst="rect">
                      <a:avLst/>
                    </a:prstGeom>
                    <a:noFill/>
                    <a:ln w="9525" cmpd="sng">
                      <a:noFill/>
                      <a:miter lim="800000"/>
                      <a:headEnd/>
                      <a:tailEnd/>
                    </a:ln>
                    <a:effectLst/>
                  </pic:spPr>
                </pic:pic>
              </a:graphicData>
            </a:graphic>
          </wp:inline>
        </w:drawing>
      </w:r>
      <w:r>
        <w:rPr>
          <w:rFonts w:hint="eastAsia" w:ascii="宋体" w:hAnsi="宋体" w:cs="宋体"/>
          <w:b/>
          <w:bCs/>
          <w:kern w:val="0"/>
          <w:sz w:val="28"/>
          <w:szCs w:val="28"/>
        </w:rPr>
        <w:t xml:space="preserve"> </w:t>
      </w:r>
    </w:p>
    <w:p w14:paraId="3AF4B334">
      <w:pPr>
        <w:widowControl/>
        <w:spacing w:line="54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（2）在专家工作室中设置在线状态</w:t>
      </w:r>
    </w:p>
    <w:p w14:paraId="793FC6B3">
      <w:pPr>
        <w:widowControl/>
        <w:spacing w:line="54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点击我的工作室“离线”的状态按钮进行快速状态在线设置（快速设置的状态仅当天有效，过了当天24点后仍旧按照服务时间设置的规则进行状态展示）；</w:t>
      </w:r>
    </w:p>
    <w:p w14:paraId="5A7E1281">
      <w:pPr>
        <w:widowControl/>
        <w:spacing w:line="54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设置时间段：在此时间段内在线；</w:t>
      </w:r>
    </w:p>
    <w:p w14:paraId="2638FB99">
      <w:pPr>
        <w:widowControl/>
        <w:spacing w:line="54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重复：在此日期的时间段内在线。</w:t>
      </w:r>
    </w:p>
    <w:p w14:paraId="68A2A95D">
      <w:pPr>
        <w:widowControl/>
        <w:spacing w:line="54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服务方式：在线期间可进行的咨询方式，如果没勾选，就算在线也无法进行视频或电话咨询。</w:t>
      </w:r>
    </w:p>
    <w:p w14:paraId="063DBE8A">
      <w:pPr>
        <w:pStyle w:val="10"/>
        <w:ind w:firstLine="200"/>
        <w:rPr>
          <w:rFonts w:hint="eastAsia"/>
        </w:rPr>
      </w:pPr>
    </w:p>
    <w:p w14:paraId="65589BCF">
      <w:pPr>
        <w:widowControl/>
        <w:ind w:firstLine="210"/>
        <w:jc w:val="center"/>
        <w:rPr>
          <w:rFonts w:ascii="Calibri" w:hAnsi="Calibri" w:cs="宋体"/>
          <w:kern w:val="0"/>
          <w:sz w:val="20"/>
          <w:szCs w:val="20"/>
        </w:rPr>
      </w:pPr>
      <w:r>
        <w:rPr>
          <w:rFonts w:ascii="Calibri" w:hAnsi="Calibri" w:cs="宋体"/>
          <w:kern w:val="0"/>
          <w:sz w:val="20"/>
          <w:szCs w:val="20"/>
        </w:rPr>
        <w:drawing>
          <wp:inline distT="0" distB="0" distL="0" distR="0">
            <wp:extent cx="2355850" cy="4635500"/>
            <wp:effectExtent l="19050" t="0" r="6350" b="0"/>
            <wp:docPr id="8" name="图片 4" descr="wps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wps110"/>
                    <pic:cNvPicPr>
                      <a:picLocks noChangeAspect="1" noChangeArrowheads="1"/>
                    </pic:cNvPicPr>
                  </pic:nvPicPr>
                  <pic:blipFill>
                    <a:blip r:embed="rId17"/>
                    <a:srcRect/>
                    <a:stretch>
                      <a:fillRect/>
                    </a:stretch>
                  </pic:blipFill>
                  <pic:spPr>
                    <a:xfrm>
                      <a:off x="0" y="0"/>
                      <a:ext cx="2355850" cy="4635500"/>
                    </a:xfrm>
                    <a:prstGeom prst="rect">
                      <a:avLst/>
                    </a:prstGeom>
                    <a:noFill/>
                    <a:ln w="9525" cmpd="sng">
                      <a:noFill/>
                      <a:miter lim="800000"/>
                      <a:headEnd/>
                      <a:tailEnd/>
                    </a:ln>
                  </pic:spPr>
                </pic:pic>
              </a:graphicData>
            </a:graphic>
          </wp:inline>
        </w:drawing>
      </w:r>
      <w:r>
        <w:rPr>
          <w:rFonts w:ascii="Calibri" w:hAnsi="Calibri" w:cs="宋体"/>
          <w:kern w:val="0"/>
          <w:sz w:val="20"/>
          <w:szCs w:val="20"/>
        </w:rPr>
        <w:drawing>
          <wp:inline distT="0" distB="0" distL="0" distR="0">
            <wp:extent cx="2343150" cy="4635500"/>
            <wp:effectExtent l="19050" t="0" r="0" b="0"/>
            <wp:docPr id="9" name="图片 5" descr="wps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descr="wps111"/>
                    <pic:cNvPicPr>
                      <a:picLocks noChangeAspect="1" noChangeArrowheads="1"/>
                    </pic:cNvPicPr>
                  </pic:nvPicPr>
                  <pic:blipFill>
                    <a:blip r:embed="rId18"/>
                    <a:srcRect/>
                    <a:stretch>
                      <a:fillRect/>
                    </a:stretch>
                  </pic:blipFill>
                  <pic:spPr>
                    <a:xfrm>
                      <a:off x="0" y="0"/>
                      <a:ext cx="2343150" cy="4635500"/>
                    </a:xfrm>
                    <a:prstGeom prst="rect">
                      <a:avLst/>
                    </a:prstGeom>
                    <a:noFill/>
                    <a:ln w="9525" cmpd="sng">
                      <a:noFill/>
                      <a:miter lim="800000"/>
                      <a:headEnd/>
                      <a:tailEnd/>
                    </a:ln>
                  </pic:spPr>
                </pic:pic>
              </a:graphicData>
            </a:graphic>
          </wp:inline>
        </w:drawing>
      </w:r>
      <w:r>
        <w:rPr>
          <w:rFonts w:ascii="Calibri" w:hAnsi="Calibri" w:cs="宋体"/>
          <w:kern w:val="0"/>
          <w:sz w:val="20"/>
          <w:szCs w:val="20"/>
        </w:rPr>
        <w:t xml:space="preserve"> </w:t>
      </w:r>
    </w:p>
    <w:p w14:paraId="07CD1484">
      <w:pPr>
        <w:pStyle w:val="10"/>
        <w:ind w:firstLine="200"/>
        <w:rPr>
          <w:rFonts w:cs="宋体"/>
        </w:rPr>
      </w:pPr>
    </w:p>
    <w:p w14:paraId="3D34B018">
      <w:pPr>
        <w:pStyle w:val="10"/>
        <w:ind w:firstLine="200"/>
        <w:rPr>
          <w:rFonts w:cs="宋体"/>
        </w:rPr>
      </w:pPr>
    </w:p>
    <w:p w14:paraId="57972939">
      <w:pPr>
        <w:pStyle w:val="10"/>
        <w:ind w:firstLine="200"/>
        <w:rPr>
          <w:rFonts w:cs="宋体"/>
        </w:rPr>
      </w:pPr>
    </w:p>
    <w:p w14:paraId="17ED238B">
      <w:pPr>
        <w:widowControl/>
        <w:ind w:firstLine="210"/>
        <w:jc w:val="center"/>
        <w:rPr>
          <w:rFonts w:ascii="Calibri" w:hAnsi="Calibri" w:cs="宋体"/>
          <w:kern w:val="0"/>
          <w:sz w:val="20"/>
          <w:szCs w:val="20"/>
        </w:rPr>
      </w:pPr>
      <w:r>
        <w:rPr>
          <w:rFonts w:ascii="Calibri" w:hAnsi="Calibri" w:cs="宋体"/>
          <w:kern w:val="0"/>
          <w:sz w:val="20"/>
          <w:szCs w:val="20"/>
        </w:rPr>
        <w:t xml:space="preserve"> </w:t>
      </w:r>
    </w:p>
    <w:p w14:paraId="23BE940B">
      <w:pPr>
        <w:widowControl/>
        <w:spacing w:line="540" w:lineRule="exact"/>
        <w:ind w:firstLine="643" w:firstLineChars="200"/>
        <w:rPr>
          <w:rFonts w:hint="eastAsia" w:ascii="仿宋_GB2312" w:hAnsi="Calibri" w:eastAsia="仿宋_GB2312" w:cs="宋体"/>
          <w:b/>
          <w:bCs/>
          <w:kern w:val="0"/>
          <w:sz w:val="32"/>
          <w:szCs w:val="32"/>
        </w:rPr>
      </w:pPr>
      <w:r>
        <w:rPr>
          <w:rFonts w:hint="eastAsia" w:ascii="仿宋_GB2312" w:hAnsi="宋体" w:eastAsia="仿宋_GB2312" w:cs="宋体"/>
          <w:b/>
          <w:bCs/>
          <w:kern w:val="0"/>
          <w:sz w:val="32"/>
          <w:szCs w:val="32"/>
        </w:rPr>
        <w:t>（3）在“我的”界面设置在线服务时间</w:t>
      </w:r>
    </w:p>
    <w:p w14:paraId="2E7F4DE8">
      <w:pPr>
        <w:widowControl/>
        <w:spacing w:line="540" w:lineRule="exact"/>
        <w:ind w:firstLine="640" w:firstLineChars="200"/>
        <w:rPr>
          <w:rFonts w:hint="eastAsia" w:ascii="仿宋_GB2312" w:hAnsi="宋体" w:eastAsia="仿宋_GB2312" w:cs="宋体"/>
          <w:b/>
          <w:bCs/>
          <w:kern w:val="0"/>
          <w:sz w:val="32"/>
          <w:szCs w:val="32"/>
        </w:rPr>
      </w:pPr>
      <w:r>
        <w:rPr>
          <w:rFonts w:hint="eastAsia" w:ascii="仿宋_GB2312" w:hAnsi="宋体" w:eastAsia="仿宋_GB2312" w:cs="宋体"/>
          <w:kern w:val="0"/>
          <w:sz w:val="32"/>
          <w:szCs w:val="32"/>
        </w:rPr>
        <w:t>从小程序下方导航栏“我的”界面也可以设置在线服务时间，点击“服务时间设置”进入服务时间设置页面进行设置。</w:t>
      </w:r>
    </w:p>
    <w:p w14:paraId="407FDB73">
      <w:pPr>
        <w:widowControl/>
        <w:ind w:firstLine="210"/>
        <w:jc w:val="center"/>
        <w:rPr>
          <w:rFonts w:hint="eastAsia" w:ascii="Calibri" w:hAnsi="Calibri" w:cs="宋体"/>
          <w:kern w:val="0"/>
          <w:sz w:val="20"/>
          <w:szCs w:val="20"/>
        </w:rPr>
      </w:pPr>
      <w:r>
        <w:rPr>
          <w:rFonts w:ascii="Calibri" w:hAnsi="Calibri" w:cs="宋体"/>
          <w:kern w:val="0"/>
          <w:sz w:val="20"/>
          <w:szCs w:val="20"/>
        </w:rPr>
        <w:drawing>
          <wp:inline distT="0" distB="0" distL="0" distR="0">
            <wp:extent cx="2616200" cy="4692650"/>
            <wp:effectExtent l="19050" t="0" r="0" b="0"/>
            <wp:docPr id="10" name="图片 6" descr="wps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descr="wps112"/>
                    <pic:cNvPicPr>
                      <a:picLocks noChangeAspect="1" noChangeArrowheads="1"/>
                    </pic:cNvPicPr>
                  </pic:nvPicPr>
                  <pic:blipFill>
                    <a:blip r:embed="rId19"/>
                    <a:srcRect/>
                    <a:stretch>
                      <a:fillRect/>
                    </a:stretch>
                  </pic:blipFill>
                  <pic:spPr>
                    <a:xfrm>
                      <a:off x="0" y="0"/>
                      <a:ext cx="2616200" cy="4692650"/>
                    </a:xfrm>
                    <a:prstGeom prst="rect">
                      <a:avLst/>
                    </a:prstGeom>
                    <a:noFill/>
                    <a:ln w="9525" cmpd="sng">
                      <a:noFill/>
                      <a:miter lim="800000"/>
                      <a:headEnd/>
                      <a:tailEnd/>
                    </a:ln>
                  </pic:spPr>
                </pic:pic>
              </a:graphicData>
            </a:graphic>
          </wp:inline>
        </w:drawing>
      </w:r>
      <w:r>
        <w:rPr>
          <w:rFonts w:ascii="Calibri" w:hAnsi="Calibri" w:cs="宋体"/>
          <w:kern w:val="0"/>
          <w:sz w:val="20"/>
          <w:szCs w:val="20"/>
        </w:rPr>
        <w:drawing>
          <wp:inline distT="0" distB="0" distL="0" distR="0">
            <wp:extent cx="2381250" cy="4686300"/>
            <wp:effectExtent l="19050" t="0" r="0" b="0"/>
            <wp:docPr id="11" name="图片 7" descr="wps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descr="wps113"/>
                    <pic:cNvPicPr>
                      <a:picLocks noChangeAspect="1" noChangeArrowheads="1"/>
                    </pic:cNvPicPr>
                  </pic:nvPicPr>
                  <pic:blipFill>
                    <a:blip r:embed="rId20"/>
                    <a:srcRect/>
                    <a:stretch>
                      <a:fillRect/>
                    </a:stretch>
                  </pic:blipFill>
                  <pic:spPr>
                    <a:xfrm>
                      <a:off x="0" y="0"/>
                      <a:ext cx="2381250" cy="4686300"/>
                    </a:xfrm>
                    <a:prstGeom prst="rect">
                      <a:avLst/>
                    </a:prstGeom>
                    <a:noFill/>
                    <a:ln w="9525" cmpd="sng">
                      <a:noFill/>
                      <a:miter lim="800000"/>
                      <a:headEnd/>
                      <a:tailEnd/>
                    </a:ln>
                  </pic:spPr>
                </pic:pic>
              </a:graphicData>
            </a:graphic>
          </wp:inline>
        </w:drawing>
      </w:r>
      <w:r>
        <w:rPr>
          <w:rFonts w:ascii="Calibri" w:hAnsi="Calibri" w:cs="宋体"/>
          <w:kern w:val="0"/>
          <w:sz w:val="20"/>
          <w:szCs w:val="20"/>
        </w:rPr>
        <w:t xml:space="preserve"> </w:t>
      </w:r>
    </w:p>
    <w:p w14:paraId="2991418A">
      <w:pPr>
        <w:widowControl/>
        <w:rPr>
          <w:rFonts w:hint="eastAsia" w:ascii="黑体" w:hAnsi="宋体" w:eastAsia="黑体" w:cs="宋体"/>
          <w:b/>
          <w:bCs/>
          <w:kern w:val="0"/>
          <w:sz w:val="32"/>
          <w:szCs w:val="32"/>
        </w:rPr>
      </w:pPr>
    </w:p>
    <w:p w14:paraId="1B488F7C">
      <w:pPr>
        <w:widowControl/>
        <w:numPr>
          <w:ilvl w:val="0"/>
          <w:numId w:val="3"/>
        </w:numPr>
        <w:rPr>
          <w:rFonts w:hint="eastAsia" w:ascii="宋体" w:hAnsi="宋体" w:cs="宋体"/>
          <w:bCs/>
          <w:color w:val="000000"/>
          <w:kern w:val="0"/>
          <w:sz w:val="28"/>
          <w:szCs w:val="28"/>
        </w:rPr>
      </w:pPr>
      <w:r>
        <w:rPr>
          <w:rFonts w:hint="eastAsia" w:ascii="黑体" w:hAnsi="宋体" w:eastAsia="黑体" w:cs="宋体"/>
          <w:bCs/>
          <w:kern w:val="0"/>
          <w:sz w:val="32"/>
          <w:szCs w:val="32"/>
        </w:rPr>
        <w:t>服务成效</w:t>
      </w:r>
    </w:p>
    <w:p w14:paraId="07A7CED9">
      <w:pPr>
        <w:widowControl/>
        <w:spacing w:line="540" w:lineRule="exact"/>
        <w:ind w:firstLine="643" w:firstLineChars="200"/>
        <w:rPr>
          <w:rFonts w:hint="eastAsia"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年度工作报告：按时提交并通过省市县科技部门审核即为合格。</w:t>
      </w:r>
    </w:p>
    <w:p w14:paraId="59560C01">
      <w:pPr>
        <w:widowControl/>
        <w:spacing w:line="54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工作报告需要在科技特派员服务云平台上填写提交，打开网页mp.fjktp.cn，登录个人账号，点击“个人/团队科特派”-“工作报告填报”，选择相应的任务进行填写相应内容指标，附件上传工作总结等内容；填写过程中可“保存草稿”，填写完成可“提交审核”。</w:t>
      </w:r>
    </w:p>
    <w:p w14:paraId="1A975E91">
      <w:pPr>
        <w:pStyle w:val="10"/>
        <w:ind w:firstLine="200"/>
      </w:pPr>
      <w:r>
        <w:drawing>
          <wp:inline distT="0" distB="0" distL="0" distR="0">
            <wp:extent cx="4508500" cy="2489200"/>
            <wp:effectExtent l="19050" t="0" r="6350" b="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noChangeArrowheads="1"/>
                    </pic:cNvPicPr>
                  </pic:nvPicPr>
                  <pic:blipFill>
                    <a:blip r:embed="rId21" cstate="print"/>
                    <a:srcRect/>
                    <a:stretch>
                      <a:fillRect/>
                    </a:stretch>
                  </pic:blipFill>
                  <pic:spPr>
                    <a:xfrm>
                      <a:off x="0" y="0"/>
                      <a:ext cx="4508500" cy="2489200"/>
                    </a:xfrm>
                    <a:prstGeom prst="rect">
                      <a:avLst/>
                    </a:prstGeom>
                    <a:noFill/>
                    <a:ln w="9525" cmpd="sng">
                      <a:noFill/>
                      <a:miter lim="800000"/>
                      <a:headEnd/>
                      <a:tailEnd/>
                    </a:ln>
                    <a:effectLst/>
                  </pic:spPr>
                </pic:pic>
              </a:graphicData>
            </a:graphic>
          </wp:inline>
        </w:drawing>
      </w:r>
    </w:p>
    <w:p w14:paraId="5CAA94CB">
      <w:pPr>
        <w:pStyle w:val="10"/>
        <w:ind w:firstLine="200"/>
      </w:pPr>
      <w:r>
        <w:drawing>
          <wp:inline distT="0" distB="0" distL="0" distR="0">
            <wp:extent cx="4546600" cy="2508250"/>
            <wp:effectExtent l="19050" t="0" r="6350" b="0"/>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noChangeArrowheads="1"/>
                    </pic:cNvPicPr>
                  </pic:nvPicPr>
                  <pic:blipFill>
                    <a:blip r:embed="rId22" cstate="print"/>
                    <a:srcRect/>
                    <a:stretch>
                      <a:fillRect/>
                    </a:stretch>
                  </pic:blipFill>
                  <pic:spPr>
                    <a:xfrm>
                      <a:off x="0" y="0"/>
                      <a:ext cx="4546600" cy="2508250"/>
                    </a:xfrm>
                    <a:prstGeom prst="rect">
                      <a:avLst/>
                    </a:prstGeom>
                    <a:noFill/>
                    <a:ln w="9525" cmpd="sng">
                      <a:noFill/>
                      <a:miter lim="800000"/>
                      <a:headEnd/>
                      <a:tailEnd/>
                    </a:ln>
                    <a:effectLst/>
                  </pic:spPr>
                </pic:pic>
              </a:graphicData>
            </a:graphic>
          </wp:inline>
        </w:drawing>
      </w:r>
    </w:p>
    <w:p w14:paraId="0A5E3448">
      <w:pPr>
        <w:widowControl/>
        <w:spacing w:line="54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附加分填报项：</w:t>
      </w:r>
    </w:p>
    <w:p w14:paraId="3ECA259D">
      <w:pPr>
        <w:widowControl/>
        <w:spacing w:line="54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针对工作报告“附加分”类填报项进行填报。附加分内容项有填写需提供证明材料供管理员审核。</w:t>
      </w:r>
    </w:p>
    <w:p w14:paraId="0354E8C8">
      <w:pPr>
        <w:pStyle w:val="10"/>
        <w:ind w:firstLine="240"/>
        <w:rPr>
          <w:rFonts w:hint="eastAsia"/>
        </w:rPr>
      </w:pPr>
      <w:r>
        <w:rPr>
          <w:rFonts w:ascii="宋体" w:hAnsi="宋体" w:cs="宋体"/>
          <w:sz w:val="24"/>
          <w:szCs w:val="24"/>
        </w:rPr>
        <w:drawing>
          <wp:inline distT="0" distB="0" distL="0" distR="0">
            <wp:extent cx="4540250" cy="2387600"/>
            <wp:effectExtent l="19050" t="0" r="0" b="0"/>
            <wp:docPr id="14" name="图片 2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0" descr="IMG_256"/>
                    <pic:cNvPicPr>
                      <a:picLocks noChangeAspect="1" noChangeArrowheads="1"/>
                    </pic:cNvPicPr>
                  </pic:nvPicPr>
                  <pic:blipFill>
                    <a:blip r:embed="rId23"/>
                    <a:srcRect/>
                    <a:stretch>
                      <a:fillRect/>
                    </a:stretch>
                  </pic:blipFill>
                  <pic:spPr>
                    <a:xfrm>
                      <a:off x="0" y="0"/>
                      <a:ext cx="4540250" cy="2387600"/>
                    </a:xfrm>
                    <a:prstGeom prst="rect">
                      <a:avLst/>
                    </a:prstGeom>
                    <a:noFill/>
                    <a:ln w="9525" cmpd="sng">
                      <a:noFill/>
                      <a:miter lim="800000"/>
                      <a:headEnd/>
                      <a:tailEnd/>
                    </a:ln>
                    <a:effectLst/>
                  </pic:spPr>
                </pic:pic>
              </a:graphicData>
            </a:graphic>
          </wp:inline>
        </w:drawing>
      </w:r>
    </w:p>
    <w:p w14:paraId="4834651D">
      <w:pPr>
        <w:widowControl/>
        <w:spacing w:line="540" w:lineRule="exact"/>
        <w:ind w:firstLine="640" w:firstLineChars="200"/>
        <w:rPr>
          <w:rFonts w:hint="eastAsia" w:ascii="黑体" w:hAnsi="黑体" w:eastAsia="黑体" w:cs="宋体"/>
          <w:kern w:val="0"/>
          <w:sz w:val="32"/>
          <w:szCs w:val="32"/>
        </w:rPr>
      </w:pPr>
      <w:r>
        <w:rPr>
          <w:rFonts w:hint="eastAsia" w:ascii="黑体" w:hAnsi="黑体" w:eastAsia="黑体" w:cs="宋体"/>
          <w:kern w:val="0"/>
          <w:sz w:val="32"/>
          <w:szCs w:val="32"/>
        </w:rPr>
        <w:t>二、被服务对象操作指南</w:t>
      </w:r>
    </w:p>
    <w:p w14:paraId="4BC01E94">
      <w:pPr>
        <w:widowControl/>
        <w:spacing w:line="54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服务满意度：</w:t>
      </w:r>
    </w:p>
    <w:p w14:paraId="41EF9B5C">
      <w:pPr>
        <w:widowControl/>
        <w:spacing w:line="54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1.被服务单位满意度评价：三星及以上即为合格。</w:t>
      </w:r>
    </w:p>
    <w:p w14:paraId="6AE87D1A">
      <w:pPr>
        <w:widowControl/>
        <w:spacing w:line="54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（1）注册登录</w:t>
      </w:r>
    </w:p>
    <w:p w14:paraId="1A973A48">
      <w:pPr>
        <w:widowControl/>
        <w:spacing w:line="54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被服务单位需要先在科技特派员服务云平台上注册，打开网页mp.fjktp.cn，点击“注册新账号”，选择单位用户进行注册，注意注册的时候需要输入单位全称进行搜索。注册成功后登录系统。</w:t>
      </w:r>
    </w:p>
    <w:p w14:paraId="45A490E2">
      <w:pPr>
        <w:widowControl/>
        <w:rPr>
          <w:rFonts w:ascii="Calibri" w:hAnsi="Calibri" w:cs="宋体"/>
          <w:kern w:val="0"/>
          <w:sz w:val="20"/>
          <w:szCs w:val="20"/>
        </w:rPr>
      </w:pPr>
      <w:r>
        <w:rPr>
          <w:rFonts w:ascii="Calibri" w:hAnsi="Calibri" w:cs="宋体"/>
          <w:kern w:val="0"/>
          <w:sz w:val="20"/>
          <w:szCs w:val="20"/>
        </w:rPr>
        <w:drawing>
          <wp:inline distT="0" distB="0" distL="0" distR="0">
            <wp:extent cx="4508500" cy="2806700"/>
            <wp:effectExtent l="19050" t="0" r="6350" b="0"/>
            <wp:docPr id="15" name="图片 11" descr="wps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1" descr="wps117"/>
                    <pic:cNvPicPr>
                      <a:picLocks noChangeAspect="1" noChangeArrowheads="1"/>
                    </pic:cNvPicPr>
                  </pic:nvPicPr>
                  <pic:blipFill>
                    <a:blip r:embed="rId24"/>
                    <a:srcRect/>
                    <a:stretch>
                      <a:fillRect/>
                    </a:stretch>
                  </pic:blipFill>
                  <pic:spPr>
                    <a:xfrm>
                      <a:off x="0" y="0"/>
                      <a:ext cx="4508500" cy="2806700"/>
                    </a:xfrm>
                    <a:prstGeom prst="rect">
                      <a:avLst/>
                    </a:prstGeom>
                    <a:noFill/>
                    <a:ln w="9525" cmpd="sng">
                      <a:noFill/>
                      <a:miter lim="800000"/>
                      <a:headEnd/>
                      <a:tailEnd/>
                    </a:ln>
                    <a:effectLst/>
                  </pic:spPr>
                </pic:pic>
              </a:graphicData>
            </a:graphic>
          </wp:inline>
        </w:drawing>
      </w:r>
      <w:r>
        <w:rPr>
          <w:rFonts w:ascii="Calibri" w:hAnsi="Calibri" w:cs="宋体"/>
          <w:kern w:val="0"/>
          <w:sz w:val="20"/>
          <w:szCs w:val="20"/>
        </w:rPr>
        <w:t xml:space="preserve"> </w:t>
      </w:r>
    </w:p>
    <w:p w14:paraId="228429C8">
      <w:pPr>
        <w:widowControl/>
        <w:ind w:firstLine="210"/>
        <w:jc w:val="center"/>
        <w:rPr>
          <w:rFonts w:ascii="Calibri" w:hAnsi="Calibri" w:cs="宋体"/>
          <w:kern w:val="0"/>
          <w:sz w:val="20"/>
          <w:szCs w:val="20"/>
        </w:rPr>
      </w:pPr>
      <w:r>
        <w:rPr>
          <w:rFonts w:ascii="Calibri" w:hAnsi="Calibri" w:cs="宋体"/>
          <w:kern w:val="0"/>
          <w:sz w:val="20"/>
          <w:szCs w:val="20"/>
        </w:rPr>
        <w:drawing>
          <wp:inline distT="0" distB="0" distL="0" distR="0">
            <wp:extent cx="3175000" cy="3022600"/>
            <wp:effectExtent l="19050" t="0" r="6350" b="0"/>
            <wp:docPr id="16" name="图片 12" descr="wps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2" descr="wps118"/>
                    <pic:cNvPicPr>
                      <a:picLocks noChangeAspect="1" noChangeArrowheads="1"/>
                    </pic:cNvPicPr>
                  </pic:nvPicPr>
                  <pic:blipFill>
                    <a:blip r:embed="rId25"/>
                    <a:srcRect/>
                    <a:stretch>
                      <a:fillRect/>
                    </a:stretch>
                  </pic:blipFill>
                  <pic:spPr>
                    <a:xfrm>
                      <a:off x="0" y="0"/>
                      <a:ext cx="3175000" cy="3022600"/>
                    </a:xfrm>
                    <a:prstGeom prst="rect">
                      <a:avLst/>
                    </a:prstGeom>
                    <a:noFill/>
                    <a:ln w="9525" cmpd="sng">
                      <a:noFill/>
                      <a:miter lim="800000"/>
                      <a:headEnd/>
                      <a:tailEnd/>
                    </a:ln>
                  </pic:spPr>
                </pic:pic>
              </a:graphicData>
            </a:graphic>
          </wp:inline>
        </w:drawing>
      </w:r>
      <w:r>
        <w:rPr>
          <w:rFonts w:ascii="Calibri" w:hAnsi="Calibri" w:cs="宋体"/>
          <w:kern w:val="0"/>
          <w:sz w:val="20"/>
          <w:szCs w:val="20"/>
        </w:rPr>
        <w:t xml:space="preserve"> </w:t>
      </w:r>
    </w:p>
    <w:p w14:paraId="38959F91">
      <w:pPr>
        <w:widowControl/>
        <w:ind w:firstLine="210"/>
        <w:jc w:val="center"/>
        <w:rPr>
          <w:rFonts w:ascii="Calibri" w:hAnsi="Calibri" w:cs="宋体"/>
          <w:kern w:val="0"/>
          <w:sz w:val="20"/>
          <w:szCs w:val="20"/>
        </w:rPr>
      </w:pPr>
      <w:r>
        <w:rPr>
          <w:rFonts w:ascii="Calibri" w:hAnsi="Calibri" w:cs="宋体"/>
          <w:kern w:val="0"/>
          <w:sz w:val="20"/>
          <w:szCs w:val="20"/>
        </w:rPr>
        <w:t xml:space="preserve"> </w:t>
      </w:r>
    </w:p>
    <w:p w14:paraId="261D8379">
      <w:pPr>
        <w:widowControl/>
        <w:spacing w:line="54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（2）单位认证</w:t>
      </w:r>
    </w:p>
    <w:p w14:paraId="5D703FF0">
      <w:pPr>
        <w:widowControl/>
        <w:spacing w:line="54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登录后进入单位信息认证页面，按要求输入相关单位信息，提交认证。</w:t>
      </w:r>
    </w:p>
    <w:p w14:paraId="33D61B0D">
      <w:pPr>
        <w:widowControl/>
        <w:rPr>
          <w:rFonts w:hint="eastAsia" w:ascii="宋体" w:hAnsi="宋体" w:cs="宋体"/>
          <w:b/>
          <w:bCs/>
          <w:sz w:val="28"/>
          <w:szCs w:val="28"/>
        </w:rPr>
      </w:pPr>
      <w:r>
        <w:rPr>
          <w:rFonts w:ascii="Calibri" w:hAnsi="Calibri" w:cs="宋体"/>
          <w:kern w:val="0"/>
          <w:sz w:val="20"/>
          <w:szCs w:val="20"/>
        </w:rPr>
        <w:drawing>
          <wp:inline distT="0" distB="0" distL="0" distR="0">
            <wp:extent cx="4737100" cy="2597150"/>
            <wp:effectExtent l="19050" t="0" r="6350" b="0"/>
            <wp:docPr id="17" name="图片 13" descr="wps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3" descr="wps119"/>
                    <pic:cNvPicPr>
                      <a:picLocks noChangeAspect="1" noChangeArrowheads="1"/>
                    </pic:cNvPicPr>
                  </pic:nvPicPr>
                  <pic:blipFill>
                    <a:blip r:embed="rId26"/>
                    <a:srcRect/>
                    <a:stretch>
                      <a:fillRect/>
                    </a:stretch>
                  </pic:blipFill>
                  <pic:spPr>
                    <a:xfrm>
                      <a:off x="0" y="0"/>
                      <a:ext cx="4737100" cy="2597150"/>
                    </a:xfrm>
                    <a:prstGeom prst="rect">
                      <a:avLst/>
                    </a:prstGeom>
                    <a:noFill/>
                    <a:ln w="9525" cmpd="sng">
                      <a:noFill/>
                      <a:miter lim="800000"/>
                      <a:headEnd/>
                      <a:tailEnd/>
                    </a:ln>
                    <a:effectLst/>
                  </pic:spPr>
                </pic:pic>
              </a:graphicData>
            </a:graphic>
          </wp:inline>
        </w:drawing>
      </w:r>
      <w:r>
        <w:rPr>
          <w:rFonts w:hint="eastAsia" w:ascii="宋体" w:hAnsi="宋体" w:cs="宋体"/>
          <w:b/>
          <w:bCs/>
          <w:kern w:val="0"/>
          <w:sz w:val="28"/>
          <w:szCs w:val="28"/>
        </w:rPr>
        <w:t xml:space="preserve"> </w:t>
      </w:r>
    </w:p>
    <w:p w14:paraId="54AA348A">
      <w:pPr>
        <w:widowControl/>
        <w:spacing w:line="54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（3）科特派评价-期中评价</w:t>
      </w:r>
    </w:p>
    <w:p w14:paraId="773698E0">
      <w:pPr>
        <w:widowControl/>
        <w:spacing w:line="54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登录后进入单位信息认证页面，按要求输入相关单位信息，提交认证。认证成功后重新登录系统，点击“注册管理和服务成效评估系统”左侧导航栏-评价考核-科特派评价，选择相应年份，点击评分区域，选择评分结果，输入评价意见，即可对科技特派员进行评分。</w:t>
      </w:r>
    </w:p>
    <w:p w14:paraId="42523F13">
      <w:pPr>
        <w:widowControl/>
        <w:rPr>
          <w:rFonts w:ascii="宋体" w:hAnsi="宋体" w:cs="宋体"/>
          <w:b/>
          <w:bCs/>
          <w:kern w:val="0"/>
          <w:sz w:val="28"/>
          <w:szCs w:val="28"/>
        </w:rPr>
      </w:pPr>
      <w:r>
        <w:rPr>
          <w:rFonts w:ascii="Calibri" w:hAnsi="Calibri" w:cs="宋体"/>
          <w:kern w:val="0"/>
          <w:sz w:val="20"/>
          <w:szCs w:val="20"/>
        </w:rPr>
        <w:drawing>
          <wp:inline distT="0" distB="0" distL="0" distR="0">
            <wp:extent cx="4845050" cy="2654300"/>
            <wp:effectExtent l="19050" t="0" r="0" b="0"/>
            <wp:docPr id="18" name="图片 14" descr="wps1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4" descr="wps11A"/>
                    <pic:cNvPicPr>
                      <a:picLocks noChangeAspect="1" noChangeArrowheads="1"/>
                    </pic:cNvPicPr>
                  </pic:nvPicPr>
                  <pic:blipFill>
                    <a:blip r:embed="rId27"/>
                    <a:srcRect/>
                    <a:stretch>
                      <a:fillRect/>
                    </a:stretch>
                  </pic:blipFill>
                  <pic:spPr>
                    <a:xfrm>
                      <a:off x="0" y="0"/>
                      <a:ext cx="4845050" cy="2654300"/>
                    </a:xfrm>
                    <a:prstGeom prst="rect">
                      <a:avLst/>
                    </a:prstGeom>
                    <a:noFill/>
                    <a:ln w="9525" cmpd="sng">
                      <a:noFill/>
                      <a:miter lim="800000"/>
                      <a:headEnd/>
                      <a:tailEnd/>
                    </a:ln>
                    <a:effectLst/>
                  </pic:spPr>
                </pic:pic>
              </a:graphicData>
            </a:graphic>
          </wp:inline>
        </w:drawing>
      </w:r>
    </w:p>
    <w:p w14:paraId="5B970A6F">
      <w:pPr>
        <w:widowControl/>
        <w:rPr>
          <w:rFonts w:ascii="Calibri" w:hAnsi="Calibri" w:cs="宋体"/>
          <w:kern w:val="0"/>
          <w:sz w:val="20"/>
          <w:szCs w:val="20"/>
        </w:rPr>
      </w:pPr>
      <w:r>
        <w:rPr>
          <w:rFonts w:ascii="Calibri" w:hAnsi="Calibri" w:cs="宋体"/>
          <w:kern w:val="0"/>
          <w:sz w:val="20"/>
          <w:szCs w:val="20"/>
        </w:rPr>
        <w:drawing>
          <wp:inline distT="0" distB="0" distL="0" distR="0">
            <wp:extent cx="4895850" cy="2673350"/>
            <wp:effectExtent l="19050" t="0" r="0" b="0"/>
            <wp:docPr id="19" name="图片 21" descr="wps1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1" descr="wps11B"/>
                    <pic:cNvPicPr>
                      <a:picLocks noChangeAspect="1" noChangeArrowheads="1"/>
                    </pic:cNvPicPr>
                  </pic:nvPicPr>
                  <pic:blipFill>
                    <a:blip r:embed="rId28"/>
                    <a:srcRect/>
                    <a:stretch>
                      <a:fillRect/>
                    </a:stretch>
                  </pic:blipFill>
                  <pic:spPr>
                    <a:xfrm>
                      <a:off x="0" y="0"/>
                      <a:ext cx="4895850" cy="2673350"/>
                    </a:xfrm>
                    <a:prstGeom prst="rect">
                      <a:avLst/>
                    </a:prstGeom>
                    <a:noFill/>
                    <a:ln w="9525" cmpd="sng">
                      <a:noFill/>
                      <a:miter lim="800000"/>
                      <a:headEnd/>
                      <a:tailEnd/>
                    </a:ln>
                    <a:effectLst/>
                  </pic:spPr>
                </pic:pic>
              </a:graphicData>
            </a:graphic>
          </wp:inline>
        </w:drawing>
      </w:r>
      <w:r>
        <w:rPr>
          <w:rFonts w:ascii="Calibri" w:hAnsi="Calibri" w:cs="宋体"/>
          <w:kern w:val="0"/>
          <w:sz w:val="20"/>
          <w:szCs w:val="20"/>
        </w:rPr>
        <w:t xml:space="preserve"> </w:t>
      </w:r>
    </w:p>
    <w:p w14:paraId="1096DC90">
      <w:pPr>
        <w:widowControl/>
        <w:spacing w:line="54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（4）科特派评价-期满评价</w:t>
      </w:r>
    </w:p>
    <w:p w14:paraId="163DCF07">
      <w:pPr>
        <w:widowControl/>
        <w:spacing w:line="54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登录后进入单位信息认证页面，按要求输入相关单位信息，提交认证。认证成功后重新登录系统，点击“注册管理和服务成效评估系统”左侧导航栏-评价考核-科特派评价，选择相应年份，点击评分区域，选择评分结果，输入评价意见，需下载评价范本进行填写盖章，填写后在附件上传进行提交。【确定】后即可对科技特派员进行评分。</w:t>
      </w:r>
    </w:p>
    <w:p w14:paraId="7A04B870">
      <w:pPr>
        <w:pStyle w:val="10"/>
        <w:ind w:firstLine="240"/>
        <w:rPr>
          <w:rStyle w:val="14"/>
          <w:rFonts w:hint="eastAsia" w:ascii="Microsoft YaHei UI" w:hAnsi="Microsoft YaHei UI" w:eastAsia="Microsoft YaHei UI" w:cs="Microsoft YaHei UI"/>
          <w:color w:val="529C2A"/>
          <w:spacing w:val="30"/>
          <w:sz w:val="27"/>
          <w:szCs w:val="27"/>
          <w:shd w:val="clear" w:color="auto" w:fill="FDFDFD"/>
        </w:rPr>
      </w:pPr>
      <w:r>
        <w:rPr>
          <w:rFonts w:ascii="宋体" w:hAnsi="宋体" w:cs="宋体"/>
          <w:sz w:val="24"/>
          <w:szCs w:val="24"/>
        </w:rPr>
        <w:drawing>
          <wp:inline distT="0" distB="0" distL="0" distR="0">
            <wp:extent cx="4851400" cy="3117850"/>
            <wp:effectExtent l="19050" t="0" r="6350" b="0"/>
            <wp:docPr id="20" name="图片 1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8" descr="IMG_256"/>
                    <pic:cNvPicPr>
                      <a:picLocks noChangeAspect="1" noChangeArrowheads="1"/>
                    </pic:cNvPicPr>
                  </pic:nvPicPr>
                  <pic:blipFill>
                    <a:blip r:embed="rId29"/>
                    <a:srcRect/>
                    <a:stretch>
                      <a:fillRect/>
                    </a:stretch>
                  </pic:blipFill>
                  <pic:spPr>
                    <a:xfrm>
                      <a:off x="0" y="0"/>
                      <a:ext cx="4851400" cy="3117850"/>
                    </a:xfrm>
                    <a:prstGeom prst="rect">
                      <a:avLst/>
                    </a:prstGeom>
                    <a:noFill/>
                    <a:ln w="9525" cmpd="sng">
                      <a:noFill/>
                      <a:miter lim="800000"/>
                      <a:headEnd/>
                      <a:tailEnd/>
                    </a:ln>
                    <a:effectLst/>
                  </pic:spPr>
                </pic:pic>
              </a:graphicData>
            </a:graphic>
          </wp:inline>
        </w:drawing>
      </w:r>
    </w:p>
    <w:p w14:paraId="7BE6F09F">
      <w:pPr>
        <w:pStyle w:val="10"/>
        <w:ind w:firstLine="0" w:firstLineChars="0"/>
        <w:rPr>
          <w:rFonts w:hint="eastAsia"/>
        </w:rPr>
      </w:pPr>
    </w:p>
    <w:sectPr>
      <w:pgSz w:w="11906" w:h="16838"/>
      <w:pgMar w:top="1440" w:right="1797" w:bottom="1440" w:left="179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panose1 w:val="02010600030101010101"/>
    <w:charset w:val="88"/>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楷体">
    <w:altName w:val="楷体_GB2312"/>
    <w:panose1 w:val="02010609060101010101"/>
    <w:charset w:val="86"/>
    <w:family w:val="modern"/>
    <w:pitch w:val="default"/>
    <w:sig w:usb0="00000000" w:usb1="00000000"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3465E1">
    <w:pPr>
      <w:pStyle w:val="7"/>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63E8BA">
                          <w:pPr>
                            <w:pStyle w:val="7"/>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PAGE  </w:instrText>
                          </w:r>
                          <w:r>
                            <w:rPr>
                              <w:rFonts w:hint="eastAsia" w:ascii="宋体" w:hAnsi="宋体" w:cs="宋体"/>
                              <w:sz w:val="28"/>
                              <w:szCs w:val="28"/>
                            </w:rPr>
                            <w:fldChar w:fldCharType="separate"/>
                          </w:r>
                          <w:r>
                            <w:rPr>
                              <w:rFonts w:ascii="宋体" w:hAnsi="宋体" w:cs="宋体"/>
                              <w:sz w:val="28"/>
                              <w:szCs w:val="28"/>
                            </w:rPr>
                            <w:t>- 8 -</w:t>
                          </w:r>
                          <w:r>
                            <w:rPr>
                              <w:rFonts w:hint="eastAsia" w:ascii="宋体" w:hAnsi="宋体" w:cs="宋体"/>
                              <w:sz w:val="28"/>
                              <w:szCs w:val="28"/>
                            </w:rPr>
                            <w:fldChar w:fldCharType="end"/>
                          </w:r>
                        </w:p>
                      </w:txbxContent>
                    </wps:txbx>
                    <wps:bodyPr wrap="none" lIns="0" tIns="0" rIns="0" bIns="0" upright="1">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7BrJ0MoBAACaAwAADgAAAAAAAAABACAAAAAeAQAAZHJzL2Uyb0Rv&#10;Yy54bWxQSwUGAAAAAAYABgBZAQAAWgUAAAAA&#10;">
              <v:fill on="f" focussize="0,0"/>
              <v:stroke on="f"/>
              <v:imagedata o:title=""/>
              <o:lock v:ext="edit" aspectratio="f"/>
              <v:textbox inset="0mm,0mm,0mm,0mm" style="mso-fit-shape-to-text:t;">
                <w:txbxContent>
                  <w:p w14:paraId="5A63E8BA">
                    <w:pPr>
                      <w:pStyle w:val="7"/>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PAGE  </w:instrText>
                    </w:r>
                    <w:r>
                      <w:rPr>
                        <w:rFonts w:hint="eastAsia" w:ascii="宋体" w:hAnsi="宋体" w:cs="宋体"/>
                        <w:sz w:val="28"/>
                        <w:szCs w:val="28"/>
                      </w:rPr>
                      <w:fldChar w:fldCharType="separate"/>
                    </w:r>
                    <w:r>
                      <w:rPr>
                        <w:rFonts w:ascii="宋体" w:hAnsi="宋体" w:cs="宋体"/>
                        <w:sz w:val="28"/>
                        <w:szCs w:val="28"/>
                      </w:rPr>
                      <w:t>- 8 -</w:t>
                    </w:r>
                    <w:r>
                      <w:rPr>
                        <w:rFonts w:hint="eastAsia" w:ascii="宋体" w:hAnsi="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A11B4">
    <w:pPr>
      <w:pStyle w:val="7"/>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032C315">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- 12 -</w:t>
                          </w:r>
                          <w:r>
                            <w:rPr>
                              <w:rFonts w:hint="eastAsia"/>
                              <w:sz w:val="18"/>
                            </w:rPr>
                            <w:fldChar w:fldCharType="end"/>
                          </w:r>
                        </w:p>
                      </w:txbxContent>
                    </wps:txbx>
                    <wps:bodyPr wrap="none" lIns="0" tIns="0" rIns="0" bIns="0" upright="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yefv8kBAACZAwAADgAAAGRycy9lMm9Eb2MueG1srVPNjtMwEL4j8Q6W&#10;79Rph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I6&#10;29MHqLHrIWBfGu78kFunPGAyqx5UtPmNegjW0dzz1Vw5JCLyR+vVel1hSWBtPiAOe/w8REhvpbck&#10;Bw2NeHvFVH56D2lsnVvyNOfvtTGY57VxfyUQM2dY5j5yzFEa9sNEfO/bM+rp8eIb6nDPKTHvHPqa&#10;d2QO4hzs5+AYoj50SG1ZeEG4PSYkUbjlCSPsNBhvrKibtiuvxJ/n0vX4R21/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fJ5+/yQEAAJkDAAAOAAAAAAAAAAEAIAAAAB4BAABkcnMvZTJvRG9j&#10;LnhtbFBLBQYAAAAABgAGAFkBAABZBQAAAAA=&#10;">
              <v:fill on="f" focussize="0,0"/>
              <v:stroke on="f"/>
              <v:imagedata o:title=""/>
              <o:lock v:ext="edit" aspectratio="f"/>
              <v:textbox inset="0mm,0mm,0mm,0mm" style="mso-fit-shape-to-text:t;">
                <w:txbxContent>
                  <w:p w14:paraId="3032C315">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- 12 -</w:t>
                    </w:r>
                    <w:r>
                      <w:rPr>
                        <w:rFonts w:hint="eastAsia"/>
                        <w:sz w:val="18"/>
                      </w:rPr>
                      <w:fldChar w:fldCharType="end"/>
                    </w:r>
                  </w:p>
                </w:txbxContent>
              </v:textbox>
            </v:shape>
          </w:pict>
        </mc:Fallback>
      </mc:AlternateContent>
    </w:r>
  </w:p>
  <w:p w14:paraId="51E3CE9A">
    <w:pPr>
      <w:pStyle w:val="7"/>
      <w:jc w:val="center"/>
      <w:rPr>
        <w:sz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8A8331">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F2B19B9">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val="en-US" w:eastAsia="zh-CN"/>
                            </w:rPr>
                            <w:t>- 11 -</w:t>
                          </w:r>
                          <w:r>
                            <w:rPr>
                              <w:rFonts w:hint="eastAsia"/>
                              <w:sz w:val="18"/>
                            </w:rPr>
                            <w:fldChar w:fldCharType="end"/>
                          </w:r>
                        </w:p>
                      </w:txbxContent>
                    </wps:txbx>
                    <wps:bodyPr wrap="none" lIns="0" tIns="0" rIns="0" bIns="0" upright="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M8548kBAACaAwAADgAAAGRycy9lMm9Eb2MueG1srVPNjtMwEL4j8Q6W&#10;79RpJ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Tb0NWSEsctTvzy/dvlx6/Lz6/k&#10;de5PH6DGtIeAiWm48wNuzewHdGbZg4o2f1EQwTh293ztrhwSEfnRerVeVxgSGJsviM8en4cI6a30&#10;lmSjoRHHV7rKT+8hjalzSq7m/L02pozQuL8ciJk9LHMfOWYrDfthErT37Rn19Dj5hjpcdErMO4eN&#10;zUsyG3E29rNxDFEfOqS2LLwg3B4TkijccoURdiqMIyvqpvXKO/HnvWQ9/lLb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zznjyQEAAJoDAAAOAAAAAAAAAAEAIAAAAB4BAABkcnMvZTJvRG9j&#10;LnhtbFBLBQYAAAAABgAGAFkBAABZBQAAAAA=&#10;">
              <v:fill on="f" focussize="0,0"/>
              <v:stroke on="f"/>
              <v:imagedata o:title=""/>
              <o:lock v:ext="edit" aspectratio="f"/>
              <v:textbox inset="0mm,0mm,0mm,0mm" style="mso-fit-shape-to-text:t;">
                <w:txbxContent>
                  <w:p w14:paraId="2F2B19B9">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val="en-US" w:eastAsia="zh-CN"/>
                      </w:rPr>
                      <w:t>- 11 -</w:t>
                    </w:r>
                    <w:r>
                      <w:rPr>
                        <w:rFonts w:hint="eastAsia"/>
                        <w:sz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86D04">
    <w:pPr>
      <w:pStyle w:val="7"/>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20DB92">
                          <w:pPr>
                            <w:pStyle w:val="7"/>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eastAsia="zh-CN"/>
                            </w:rPr>
                            <w:t>-</w:t>
                          </w:r>
                          <w:r>
                            <w:rPr>
                              <w:rFonts w:ascii="宋体" w:hAnsi="宋体"/>
                              <w:sz w:val="28"/>
                              <w:szCs w:val="28"/>
                              <w:lang w:val="en-US" w:eastAsia="zh-CN"/>
                            </w:rPr>
                            <w:t xml:space="preserve"> 13 -</w:t>
                          </w:r>
                          <w:r>
                            <w:rPr>
                              <w:rFonts w:ascii="宋体" w:hAnsi="宋体"/>
                              <w:sz w:val="28"/>
                              <w:szCs w:val="28"/>
                            </w:rPr>
                            <w:fldChar w:fldCharType="end"/>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UcEl8oBAACaAwAADgAAAAAAAAABACAAAAAeAQAAZHJzL2Uyb0Rv&#10;Yy54bWxQSwUGAAAAAAYABgBZAQAAWgUAAAAA&#10;">
              <v:fill on="f" focussize="0,0"/>
              <v:stroke on="f"/>
              <v:imagedata o:title=""/>
              <o:lock v:ext="edit" aspectratio="f"/>
              <v:textbox inset="0mm,0mm,0mm,0mm" style="mso-fit-shape-to-text:t;">
                <w:txbxContent>
                  <w:p w14:paraId="6D20DB92">
                    <w:pPr>
                      <w:pStyle w:val="7"/>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eastAsia="zh-CN"/>
                      </w:rPr>
                      <w:t>-</w:t>
                    </w:r>
                    <w:r>
                      <w:rPr>
                        <w:rFonts w:ascii="宋体" w:hAnsi="宋体"/>
                        <w:sz w:val="28"/>
                        <w:szCs w:val="28"/>
                        <w:lang w:val="en-US" w:eastAsia="zh-CN"/>
                      </w:rPr>
                      <w:t xml:space="preserve"> 13 -</w:t>
                    </w:r>
                    <w:r>
                      <w:rPr>
                        <w:rFonts w:ascii="宋体" w:hAnsi="宋体"/>
                        <w:sz w:val="28"/>
                        <w:szCs w:val="28"/>
                      </w:rPr>
                      <w:fldChar w:fldCharType="end"/>
                    </w:r>
                  </w:p>
                </w:txbxContent>
              </v:textbox>
            </v:shape>
          </w:pict>
        </mc:Fallback>
      </mc:AlternateContent>
    </w:r>
  </w:p>
  <w:p w14:paraId="29E41C80">
    <w:pPr>
      <w:pStyle w:val="7"/>
      <w:jc w:val="center"/>
      <w:rPr>
        <w:sz w:val="2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3F717">
    <w:pPr>
      <w:pStyle w:val="7"/>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7D66939">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val="en-US" w:eastAsia="zh-CN"/>
                            </w:rPr>
                            <w:t>- 12 -</w:t>
                          </w:r>
                          <w:r>
                            <w:rPr>
                              <w:rFonts w:hint="eastAsia"/>
                              <w:sz w:val="18"/>
                            </w:rPr>
                            <w:fldChar w:fldCharType="end"/>
                          </w:r>
                        </w:p>
                      </w:txbxContent>
                    </wps:txbx>
                    <wps:bodyPr wrap="none" lIns="0" tIns="0" rIns="0" bIns="0" upright="1">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xSGzoMoBAACaAwAADgAAAAAAAAABACAAAAAeAQAAZHJzL2Uyb0Rv&#10;Yy54bWxQSwUGAAAAAAYABgBZAQAAWgUAAAAA&#10;">
              <v:fill on="f" focussize="0,0"/>
              <v:stroke on="f"/>
              <v:imagedata o:title=""/>
              <o:lock v:ext="edit" aspectratio="f"/>
              <v:textbox inset="0mm,0mm,0mm,0mm" style="mso-fit-shape-to-text:t;">
                <w:txbxContent>
                  <w:p w14:paraId="77D66939">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val="en-US" w:eastAsia="zh-CN"/>
                      </w:rPr>
                      <w:t>- 12 -</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A2DF9">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DEE02">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FC201E"/>
    <w:multiLevelType w:val="singleLevel"/>
    <w:tmpl w:val="93FC201E"/>
    <w:lvl w:ilvl="0" w:tentative="0">
      <w:start w:val="1"/>
      <w:numFmt w:val="chineseCounting"/>
      <w:suff w:val="nothing"/>
      <w:lvlText w:val="（%1）"/>
      <w:lvlJc w:val="left"/>
      <w:pPr>
        <w:ind w:left="0" w:firstLine="420"/>
      </w:pPr>
      <w:rPr>
        <w:rFonts w:hint="eastAsia"/>
      </w:rPr>
    </w:lvl>
  </w:abstractNum>
  <w:abstractNum w:abstractNumId="1">
    <w:nsid w:val="682D82C8"/>
    <w:multiLevelType w:val="singleLevel"/>
    <w:tmpl w:val="682D82C8"/>
    <w:lvl w:ilvl="0" w:tentative="0">
      <w:start w:val="2"/>
      <w:numFmt w:val="chineseCounting"/>
      <w:suff w:val="nothing"/>
      <w:lvlText w:val="%1、"/>
      <w:lvlJc w:val="left"/>
    </w:lvl>
  </w:abstractNum>
  <w:abstractNum w:abstractNumId="2">
    <w:nsid w:val="682D87D2"/>
    <w:multiLevelType w:val="singleLevel"/>
    <w:tmpl w:val="682D87D2"/>
    <w:lvl w:ilvl="0" w:tentative="0">
      <w:start w:val="3"/>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documentProtection w:enforcement="0"/>
  <w:defaultTabStop w:val="420"/>
  <w:drawingGridVerticalSpacing w:val="157"/>
  <w:displayVerticalDrawingGridEvery w:val="2"/>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FmNDcxNGY3NDRmMDcxZTI0Y2VkZmIwZWMzMzBkN2QifQ=="/>
  </w:docVars>
  <w:rsids>
    <w:rsidRoot w:val="00A34FBE"/>
    <w:rsid w:val="00012F79"/>
    <w:rsid w:val="00031DE6"/>
    <w:rsid w:val="00044D87"/>
    <w:rsid w:val="00051FAE"/>
    <w:rsid w:val="0008640F"/>
    <w:rsid w:val="000909CB"/>
    <w:rsid w:val="000C530F"/>
    <w:rsid w:val="000C72A1"/>
    <w:rsid w:val="000D386A"/>
    <w:rsid w:val="000F594B"/>
    <w:rsid w:val="001255F8"/>
    <w:rsid w:val="00173778"/>
    <w:rsid w:val="00180327"/>
    <w:rsid w:val="00181416"/>
    <w:rsid w:val="00181807"/>
    <w:rsid w:val="00195F98"/>
    <w:rsid w:val="00196B45"/>
    <w:rsid w:val="001B1460"/>
    <w:rsid w:val="001F562B"/>
    <w:rsid w:val="002156CF"/>
    <w:rsid w:val="002252D4"/>
    <w:rsid w:val="002265C9"/>
    <w:rsid w:val="00227929"/>
    <w:rsid w:val="00233BA7"/>
    <w:rsid w:val="00256240"/>
    <w:rsid w:val="002618B8"/>
    <w:rsid w:val="00276725"/>
    <w:rsid w:val="002A0611"/>
    <w:rsid w:val="002A393E"/>
    <w:rsid w:val="002E1417"/>
    <w:rsid w:val="002E1648"/>
    <w:rsid w:val="002E2B27"/>
    <w:rsid w:val="002E67A5"/>
    <w:rsid w:val="003062A0"/>
    <w:rsid w:val="0032436F"/>
    <w:rsid w:val="003A458F"/>
    <w:rsid w:val="003B1805"/>
    <w:rsid w:val="003C5A0A"/>
    <w:rsid w:val="00412FAB"/>
    <w:rsid w:val="004242D5"/>
    <w:rsid w:val="004703AF"/>
    <w:rsid w:val="004859DD"/>
    <w:rsid w:val="0049126D"/>
    <w:rsid w:val="00497547"/>
    <w:rsid w:val="004A511E"/>
    <w:rsid w:val="004A7899"/>
    <w:rsid w:val="004D11E9"/>
    <w:rsid w:val="004E599C"/>
    <w:rsid w:val="004F3C3C"/>
    <w:rsid w:val="00515CBC"/>
    <w:rsid w:val="00520925"/>
    <w:rsid w:val="00526F88"/>
    <w:rsid w:val="00536438"/>
    <w:rsid w:val="00543F99"/>
    <w:rsid w:val="00561ABA"/>
    <w:rsid w:val="00571360"/>
    <w:rsid w:val="00574C8C"/>
    <w:rsid w:val="0059171A"/>
    <w:rsid w:val="005C2EE8"/>
    <w:rsid w:val="005C51D7"/>
    <w:rsid w:val="005D6E78"/>
    <w:rsid w:val="00647301"/>
    <w:rsid w:val="00655384"/>
    <w:rsid w:val="006740A5"/>
    <w:rsid w:val="0067550B"/>
    <w:rsid w:val="00685539"/>
    <w:rsid w:val="006E3AFD"/>
    <w:rsid w:val="006E4434"/>
    <w:rsid w:val="00757731"/>
    <w:rsid w:val="007A1D73"/>
    <w:rsid w:val="007B33CF"/>
    <w:rsid w:val="007B669C"/>
    <w:rsid w:val="007C7479"/>
    <w:rsid w:val="007D7E25"/>
    <w:rsid w:val="00824EE4"/>
    <w:rsid w:val="00841F88"/>
    <w:rsid w:val="00844D8F"/>
    <w:rsid w:val="0088173B"/>
    <w:rsid w:val="008909D5"/>
    <w:rsid w:val="00891BD5"/>
    <w:rsid w:val="008B6D45"/>
    <w:rsid w:val="008C5CFC"/>
    <w:rsid w:val="008E45A2"/>
    <w:rsid w:val="008E7354"/>
    <w:rsid w:val="008F1691"/>
    <w:rsid w:val="00910FAE"/>
    <w:rsid w:val="009132FB"/>
    <w:rsid w:val="009150FB"/>
    <w:rsid w:val="00955457"/>
    <w:rsid w:val="009640BF"/>
    <w:rsid w:val="00967135"/>
    <w:rsid w:val="009761B3"/>
    <w:rsid w:val="00996E63"/>
    <w:rsid w:val="0099755C"/>
    <w:rsid w:val="009A5DAE"/>
    <w:rsid w:val="009B7B5E"/>
    <w:rsid w:val="009D0670"/>
    <w:rsid w:val="009D4138"/>
    <w:rsid w:val="009D645B"/>
    <w:rsid w:val="00A07394"/>
    <w:rsid w:val="00A21E96"/>
    <w:rsid w:val="00A340C2"/>
    <w:rsid w:val="00A34FBE"/>
    <w:rsid w:val="00AA3DBC"/>
    <w:rsid w:val="00AB0C9D"/>
    <w:rsid w:val="00B31A55"/>
    <w:rsid w:val="00B42C25"/>
    <w:rsid w:val="00B63E91"/>
    <w:rsid w:val="00B80838"/>
    <w:rsid w:val="00B94630"/>
    <w:rsid w:val="00BD5598"/>
    <w:rsid w:val="00BE1228"/>
    <w:rsid w:val="00C1652C"/>
    <w:rsid w:val="00C4219D"/>
    <w:rsid w:val="00C760C2"/>
    <w:rsid w:val="00C76414"/>
    <w:rsid w:val="00C873C0"/>
    <w:rsid w:val="00CA2C75"/>
    <w:rsid w:val="00CE0E8B"/>
    <w:rsid w:val="00CE259C"/>
    <w:rsid w:val="00D04EBC"/>
    <w:rsid w:val="00D05456"/>
    <w:rsid w:val="00D07F86"/>
    <w:rsid w:val="00D373D6"/>
    <w:rsid w:val="00D46D0D"/>
    <w:rsid w:val="00D627CC"/>
    <w:rsid w:val="00D72101"/>
    <w:rsid w:val="00D76285"/>
    <w:rsid w:val="00D77C7E"/>
    <w:rsid w:val="00D84C4E"/>
    <w:rsid w:val="00DB1B1E"/>
    <w:rsid w:val="00DD1147"/>
    <w:rsid w:val="00DD71C4"/>
    <w:rsid w:val="00DF0D3C"/>
    <w:rsid w:val="00DF1611"/>
    <w:rsid w:val="00DF2192"/>
    <w:rsid w:val="00E05FA0"/>
    <w:rsid w:val="00E13C7C"/>
    <w:rsid w:val="00E16387"/>
    <w:rsid w:val="00E478ED"/>
    <w:rsid w:val="00E52B9F"/>
    <w:rsid w:val="00E8107C"/>
    <w:rsid w:val="00E97FAA"/>
    <w:rsid w:val="00EA458D"/>
    <w:rsid w:val="00EB76FA"/>
    <w:rsid w:val="00F15726"/>
    <w:rsid w:val="00F16C26"/>
    <w:rsid w:val="00F23E39"/>
    <w:rsid w:val="00F23EF0"/>
    <w:rsid w:val="00F27886"/>
    <w:rsid w:val="00F36465"/>
    <w:rsid w:val="00F77EC4"/>
    <w:rsid w:val="00FD2136"/>
    <w:rsid w:val="00FE55DE"/>
    <w:rsid w:val="00FF79E0"/>
    <w:rsid w:val="01AC7421"/>
    <w:rsid w:val="034578C2"/>
    <w:rsid w:val="03710AF1"/>
    <w:rsid w:val="040B3BCF"/>
    <w:rsid w:val="05793CC7"/>
    <w:rsid w:val="07830155"/>
    <w:rsid w:val="07F07799"/>
    <w:rsid w:val="08620246"/>
    <w:rsid w:val="098F3845"/>
    <w:rsid w:val="09E43C48"/>
    <w:rsid w:val="0AFB7F0A"/>
    <w:rsid w:val="0CD30ADC"/>
    <w:rsid w:val="0F507BC6"/>
    <w:rsid w:val="0FE036FF"/>
    <w:rsid w:val="10E0561A"/>
    <w:rsid w:val="11F2430C"/>
    <w:rsid w:val="12165632"/>
    <w:rsid w:val="171657DF"/>
    <w:rsid w:val="174B5D78"/>
    <w:rsid w:val="18E32EE2"/>
    <w:rsid w:val="1924772B"/>
    <w:rsid w:val="1D3369BF"/>
    <w:rsid w:val="1D9A259A"/>
    <w:rsid w:val="1DB15698"/>
    <w:rsid w:val="1E2E3FC6"/>
    <w:rsid w:val="21EE4586"/>
    <w:rsid w:val="2222426E"/>
    <w:rsid w:val="242B7DA0"/>
    <w:rsid w:val="24415ED4"/>
    <w:rsid w:val="281926E6"/>
    <w:rsid w:val="292673D5"/>
    <w:rsid w:val="295344B5"/>
    <w:rsid w:val="2B6C1A1A"/>
    <w:rsid w:val="2B7C4551"/>
    <w:rsid w:val="2B8A3D12"/>
    <w:rsid w:val="2D8E71C0"/>
    <w:rsid w:val="2DED06BD"/>
    <w:rsid w:val="2F8B45BC"/>
    <w:rsid w:val="30865E1D"/>
    <w:rsid w:val="31F7175E"/>
    <w:rsid w:val="324D6B01"/>
    <w:rsid w:val="326477B3"/>
    <w:rsid w:val="345C0DF8"/>
    <w:rsid w:val="359F4898"/>
    <w:rsid w:val="37723601"/>
    <w:rsid w:val="3B566D59"/>
    <w:rsid w:val="3DE7342C"/>
    <w:rsid w:val="3DF70ED7"/>
    <w:rsid w:val="4148337A"/>
    <w:rsid w:val="41693712"/>
    <w:rsid w:val="424B62B2"/>
    <w:rsid w:val="42772D34"/>
    <w:rsid w:val="440A2B33"/>
    <w:rsid w:val="44BF3157"/>
    <w:rsid w:val="46861DC9"/>
    <w:rsid w:val="47E209AB"/>
    <w:rsid w:val="4B94398D"/>
    <w:rsid w:val="4BBA701C"/>
    <w:rsid w:val="4C341C88"/>
    <w:rsid w:val="4F114E7C"/>
    <w:rsid w:val="50161199"/>
    <w:rsid w:val="51E362A5"/>
    <w:rsid w:val="53C25DCC"/>
    <w:rsid w:val="54390313"/>
    <w:rsid w:val="56E147BB"/>
    <w:rsid w:val="575B6E26"/>
    <w:rsid w:val="580C5EFD"/>
    <w:rsid w:val="58254C52"/>
    <w:rsid w:val="5869013B"/>
    <w:rsid w:val="59122743"/>
    <w:rsid w:val="5C17616C"/>
    <w:rsid w:val="5D62271E"/>
    <w:rsid w:val="5DF33714"/>
    <w:rsid w:val="5FFA29D9"/>
    <w:rsid w:val="601F6F4D"/>
    <w:rsid w:val="62A33CEE"/>
    <w:rsid w:val="63F7083B"/>
    <w:rsid w:val="691813FC"/>
    <w:rsid w:val="696E45ED"/>
    <w:rsid w:val="697A3B27"/>
    <w:rsid w:val="69AC6DCF"/>
    <w:rsid w:val="6C0A7FD0"/>
    <w:rsid w:val="6E1249FE"/>
    <w:rsid w:val="6E70494A"/>
    <w:rsid w:val="726832BC"/>
    <w:rsid w:val="738C2178"/>
    <w:rsid w:val="73CB215F"/>
    <w:rsid w:val="74603869"/>
    <w:rsid w:val="759E087C"/>
    <w:rsid w:val="760E7AFA"/>
    <w:rsid w:val="767216DB"/>
    <w:rsid w:val="77E73539"/>
    <w:rsid w:val="78964019"/>
    <w:rsid w:val="793F1F9D"/>
    <w:rsid w:val="7A293BFF"/>
    <w:rsid w:val="7A341A9C"/>
    <w:rsid w:val="7AB74927"/>
    <w:rsid w:val="7BA9617D"/>
    <w:rsid w:val="7BD90FD0"/>
    <w:rsid w:val="7C8E7242"/>
    <w:rsid w:val="7CFF5B2D"/>
    <w:rsid w:val="7DF95F9A"/>
    <w:rsid w:val="7E0724A9"/>
    <w:rsid w:val="7E9C6DF1"/>
    <w:rsid w:val="7EC14108"/>
    <w:rsid w:val="7F7B7853"/>
    <w:rsid w:val="7F83DD87"/>
    <w:rsid w:val="7FFF6DAB"/>
    <w:rsid w:val="EEA3127D"/>
    <w:rsid w:val="F57703C1"/>
    <w:rsid w:val="F79DAC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6"/>
    <w:basedOn w:val="1"/>
    <w:next w:val="1"/>
    <w:qFormat/>
    <w:uiPriority w:val="0"/>
    <w:pPr>
      <w:keepNext/>
      <w:keepLines/>
      <w:spacing w:before="240" w:after="64" w:line="317" w:lineRule="auto"/>
      <w:outlineLvl w:val="5"/>
    </w:pPr>
    <w:rPr>
      <w:rFonts w:ascii="Arial" w:hAnsi="Arial" w:eastAsia="黑体"/>
      <w:b/>
      <w:bCs/>
      <w:sz w:val="24"/>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4">
    <w:name w:val="table of authorities"/>
    <w:basedOn w:val="1"/>
    <w:next w:val="1"/>
    <w:qFormat/>
    <w:uiPriority w:val="99"/>
    <w:pPr>
      <w:ind w:left="420" w:leftChars="200"/>
    </w:pPr>
  </w:style>
  <w:style w:type="paragraph" w:styleId="5">
    <w:name w:val="annotation text"/>
    <w:basedOn w:val="1"/>
    <w:link w:val="17"/>
    <w:qFormat/>
    <w:uiPriority w:val="99"/>
    <w:pPr>
      <w:jc w:val="left"/>
    </w:pPr>
  </w:style>
  <w:style w:type="paragraph" w:styleId="6">
    <w:name w:val="Body Text"/>
    <w:basedOn w:val="1"/>
    <w:qFormat/>
    <w:uiPriority w:val="0"/>
    <w:pPr>
      <w:spacing w:after="120"/>
    </w:pPr>
  </w:style>
  <w:style w:type="paragraph" w:styleId="7">
    <w:name w:val="footer"/>
    <w:basedOn w:val="1"/>
    <w:link w:val="18"/>
    <w:qFormat/>
    <w:uiPriority w:val="99"/>
    <w:pPr>
      <w:tabs>
        <w:tab w:val="center" w:pos="4153"/>
        <w:tab w:val="right" w:pos="8306"/>
      </w:tabs>
      <w:snapToGrid w:val="0"/>
      <w:jc w:val="left"/>
    </w:pPr>
    <w:rPr>
      <w:sz w:val="18"/>
      <w:szCs w:val="18"/>
    </w:rPr>
  </w:style>
  <w:style w:type="paragraph" w:styleId="8">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9">
    <w:name w:val="annotation subject"/>
    <w:basedOn w:val="5"/>
    <w:next w:val="5"/>
    <w:link w:val="20"/>
    <w:qFormat/>
    <w:uiPriority w:val="0"/>
    <w:rPr>
      <w:b/>
      <w:bCs/>
    </w:rPr>
  </w:style>
  <w:style w:type="paragraph" w:styleId="10">
    <w:name w:val="Body Text First Indent"/>
    <w:basedOn w:val="6"/>
    <w:qFormat/>
    <w:uiPriority w:val="0"/>
    <w:pPr>
      <w:ind w:firstLine="420" w:firstLineChars="100"/>
    </w:pPr>
    <w:rPr>
      <w:rFonts w:ascii="Calibri" w:hAnsi="Calibri"/>
      <w:kern w:val="0"/>
      <w:sz w:val="20"/>
      <w:szCs w:val="20"/>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qFormat/>
    <w:uiPriority w:val="0"/>
    <w:rPr>
      <w:b/>
    </w:rPr>
  </w:style>
  <w:style w:type="character" w:styleId="15">
    <w:name w:val="page number"/>
    <w:basedOn w:val="13"/>
    <w:qFormat/>
    <w:uiPriority w:val="0"/>
  </w:style>
  <w:style w:type="character" w:styleId="16">
    <w:name w:val="annotation reference"/>
    <w:qFormat/>
    <w:uiPriority w:val="0"/>
    <w:rPr>
      <w:sz w:val="21"/>
      <w:szCs w:val="21"/>
    </w:rPr>
  </w:style>
  <w:style w:type="character" w:customStyle="1" w:styleId="17">
    <w:name w:val="批注文字 Char"/>
    <w:link w:val="5"/>
    <w:qFormat/>
    <w:uiPriority w:val="99"/>
    <w:rPr>
      <w:kern w:val="2"/>
      <w:sz w:val="21"/>
      <w:szCs w:val="24"/>
    </w:rPr>
  </w:style>
  <w:style w:type="character" w:customStyle="1" w:styleId="18">
    <w:name w:val="页脚 Char"/>
    <w:link w:val="7"/>
    <w:qFormat/>
    <w:uiPriority w:val="99"/>
    <w:rPr>
      <w:kern w:val="2"/>
      <w:sz w:val="18"/>
      <w:szCs w:val="18"/>
    </w:rPr>
  </w:style>
  <w:style w:type="character" w:customStyle="1" w:styleId="19">
    <w:name w:val="页眉 Char"/>
    <w:link w:val="8"/>
    <w:qFormat/>
    <w:uiPriority w:val="99"/>
    <w:rPr>
      <w:kern w:val="2"/>
      <w:sz w:val="18"/>
      <w:szCs w:val="18"/>
    </w:rPr>
  </w:style>
  <w:style w:type="character" w:customStyle="1" w:styleId="20">
    <w:name w:val="批注主题 Char"/>
    <w:basedOn w:val="17"/>
    <w:link w:val="9"/>
    <w:qFormat/>
    <w:uiPriority w:val="0"/>
  </w:style>
  <w:style w:type="character" w:customStyle="1" w:styleId="21">
    <w:name w:val="10"/>
    <w:qFormat/>
    <w:uiPriority w:val="0"/>
    <w:rPr>
      <w:rFonts w:hint="default" w:ascii="Times New Roman" w:hAnsi="Times New Roman" w:cs="Times New Roman"/>
    </w:rPr>
  </w:style>
  <w:style w:type="paragraph" w:customStyle="1" w:styleId="22">
    <w:name w:val="p0"/>
    <w:basedOn w:val="1"/>
    <w:qFormat/>
    <w:uiPriority w:val="0"/>
    <w:pPr>
      <w:widowControl/>
    </w:pPr>
    <w:rPr>
      <w:rFonts w:ascii="Calibri" w:hAnsi="Calibri" w:cs="宋体"/>
      <w:kern w:val="0"/>
      <w:szCs w:val="21"/>
    </w:rPr>
  </w:style>
  <w:style w:type="paragraph" w:customStyle="1" w:styleId="23">
    <w:name w:val="p17"/>
    <w:basedOn w:val="1"/>
    <w:qFormat/>
    <w:uiPriority w:val="0"/>
    <w:pPr>
      <w:widowControl/>
      <w:spacing w:after="120"/>
      <w:ind w:firstLine="210"/>
    </w:pPr>
    <w:rPr>
      <w:rFonts w:ascii="Calibri" w:hAnsi="Calibri" w:cs="宋体"/>
      <w:kern w:val="0"/>
      <w:sz w:val="20"/>
      <w:szCs w:val="20"/>
    </w:rPr>
  </w:style>
  <w:style w:type="paragraph" w:customStyle="1" w:styleId="24">
    <w:name w:val="Revisio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footer" Target="footer1.xml"/><Relationship Id="rId29" Type="http://schemas.openxmlformats.org/officeDocument/2006/relationships/image" Target="media/image19.png"/><Relationship Id="rId28" Type="http://schemas.openxmlformats.org/officeDocument/2006/relationships/image" Target="media/image18.png"/><Relationship Id="rId27" Type="http://schemas.openxmlformats.org/officeDocument/2006/relationships/image" Target="media/image17.png"/><Relationship Id="rId26" Type="http://schemas.openxmlformats.org/officeDocument/2006/relationships/image" Target="media/image16.png"/><Relationship Id="rId25" Type="http://schemas.openxmlformats.org/officeDocument/2006/relationships/image" Target="media/image15.png"/><Relationship Id="rId24" Type="http://schemas.openxmlformats.org/officeDocument/2006/relationships/image" Target="media/image14.png"/><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24</Pages>
  <Words>7098</Words>
  <Characters>7665</Characters>
  <Lines>59</Lines>
  <Paragraphs>16</Paragraphs>
  <TotalTime>4</TotalTime>
  <ScaleCrop>false</ScaleCrop>
  <LinksUpToDate>false</LinksUpToDate>
  <CharactersWithSpaces>7777</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2026-07-17T15:53:00Z</dcterms:created>
  <dc:creator>微软用户</dc:creator>
  <cp:lastModifiedBy>999Lydia</cp:lastModifiedBy>
  <cp:lastPrinted>2026-08-07T16:06:00Z</cp:lastPrinted>
  <dcterms:modified xsi:type="dcterms:W3CDTF">2026-09-04T10:39:53Z</dcterms:modified>
  <dc:title>闽科农函〔2025〕  号</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4CC5DA20B150ADE4E92E9A6AF8A7465D_43</vt:lpwstr>
  </property>
  <property fmtid="{D5CDD505-2E9C-101B-9397-08002B2CF9AE}" pid="4" name="KSOTemplateDocerSaveRecord">
    <vt:lpwstr>eyJoZGlkIjoiZWY5Mzc3Zjk1OTNjNjVlZWQ2MTJjYjY1OGM0ODkyYTgiLCJ1c2VySWQiOiIxMjcyODY1MzcxIn0=</vt:lpwstr>
  </property>
</Properties>
</file>