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037B3">
      <w:pPr>
        <w:snapToGrid w:val="0"/>
        <w:spacing w:line="600" w:lineRule="exact"/>
        <w:ind w:right="160"/>
        <w:jc w:val="right"/>
        <w:rPr>
          <w:rFonts w:ascii="黑体" w:eastAsia="黑体"/>
          <w:b/>
          <w:szCs w:val="32"/>
        </w:rPr>
      </w:pPr>
    </w:p>
    <w:p w14:paraId="2ADB9BEC">
      <w:pPr>
        <w:snapToGrid w:val="0"/>
        <w:spacing w:line="600" w:lineRule="exact"/>
        <w:ind w:right="160"/>
        <w:jc w:val="right"/>
        <w:rPr>
          <w:rFonts w:ascii="黑体" w:eastAsia="黑体"/>
          <w:b/>
          <w:szCs w:val="32"/>
          <w:lang w:val="en"/>
        </w:rPr>
      </w:pPr>
    </w:p>
    <w:p w14:paraId="5F627140">
      <w:pPr>
        <w:snapToGrid w:val="0"/>
        <w:spacing w:line="600" w:lineRule="exact"/>
        <w:ind w:right="160"/>
        <w:jc w:val="right"/>
        <w:rPr>
          <w:rFonts w:ascii="黑体" w:eastAsia="黑体"/>
          <w:b/>
          <w:szCs w:val="32"/>
        </w:rPr>
      </w:pPr>
      <w:r>
        <w:rPr>
          <w:rFonts w:hint="eastAsia" w:ascii="黑体" w:eastAsia="黑体"/>
          <w:b/>
          <w:szCs w:val="32"/>
        </w:rPr>
        <w:t xml:space="preserve">                                             </w:t>
      </w:r>
    </w:p>
    <w:p w14:paraId="5603993D">
      <w:pPr>
        <w:snapToGrid w:val="0"/>
        <w:spacing w:line="600" w:lineRule="exact"/>
        <w:ind w:right="1440"/>
        <w:rPr>
          <w:rFonts w:ascii="黑体" w:eastAsia="黑体"/>
          <w:b/>
          <w:szCs w:val="32"/>
        </w:rPr>
      </w:pPr>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r>
        <w:rPr>
          <w:rFonts w:hint="eastAsia" w:ascii="黑体" w:eastAsia="黑体"/>
          <w:b/>
          <w:szCs w:val="32"/>
        </w:rPr>
        <w:t xml:space="preserve">        </w:t>
      </w:r>
    </w:p>
    <w:p w14:paraId="44065B35">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6593E6FC">
                            <w:pPr>
                              <w:keepNext w:val="0"/>
                              <w:keepLines w:val="0"/>
                              <w:widowControl/>
                              <w:suppressLineNumbers w:val="0"/>
                              <w:jc w:val="center"/>
                              <w:rPr>
                                <w:rFonts w:hint="eastAsia" w:ascii="仿宋_GB2312" w:hAnsi="仿宋_GB2312" w:eastAsia="仿宋_GB2312" w:cs="仿宋_GB2312"/>
                                <w:szCs w:val="32"/>
                              </w:rPr>
                            </w:pPr>
                            <w:r>
                              <w:rPr>
                                <w:rFonts w:hint="eastAsia" w:ascii="仿宋_GB2312" w:hAnsi="仿宋_GB2312" w:eastAsia="仿宋_GB2312" w:cs="仿宋_GB2312"/>
                                <w:i w:val="0"/>
                                <w:caps w:val="0"/>
                                <w:color w:val="000000"/>
                                <w:spacing w:val="0"/>
                                <w:kern w:val="0"/>
                                <w:sz w:val="32"/>
                                <w:szCs w:val="32"/>
                                <w:lang w:val="en-US" w:eastAsia="zh-CN" w:bidi="ar"/>
                              </w:rPr>
                              <w:t>闽科规〔2026〕1号</w:t>
                            </w:r>
                          </w:p>
                          <w:p w14:paraId="188BC7CE">
                            <w:pPr>
                              <w:widowControl/>
                              <w:ind w:firstLine="480" w:firstLineChars="150"/>
                              <w:jc w:val="left"/>
                              <w:rPr>
                                <w:rFonts w:ascii="仿宋" w:hAnsi="仿宋" w:eastAsia="仿宋" w:cs="仿宋"/>
                                <w:color w:val="000000"/>
                                <w:kern w:val="0"/>
                                <w:szCs w:val="32"/>
                                <w:lang w:bidi="ar"/>
                              </w:rPr>
                            </w:pPr>
                          </w:p>
                          <w:p w14:paraId="4393ED58">
                            <w:pPr>
                              <w:widowControl/>
                              <w:ind w:firstLine="480" w:firstLineChars="150"/>
                              <w:jc w:val="left"/>
                              <w:rPr>
                                <w:rFonts w:ascii="仿宋" w:hAnsi="仿宋" w:eastAsia="仿宋" w:cs="仿宋"/>
                                <w:color w:val="000000"/>
                                <w:kern w:val="0"/>
                                <w:szCs w:val="32"/>
                                <w:lang w:bidi="ar"/>
                              </w:rPr>
                            </w:pPr>
                          </w:p>
                          <w:p w14:paraId="6FEEC4FC">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6593E6FC">
                      <w:pPr>
                        <w:keepNext w:val="0"/>
                        <w:keepLines w:val="0"/>
                        <w:widowControl/>
                        <w:suppressLineNumbers w:val="0"/>
                        <w:jc w:val="center"/>
                        <w:rPr>
                          <w:rFonts w:hint="eastAsia" w:ascii="仿宋_GB2312" w:hAnsi="仿宋_GB2312" w:eastAsia="仿宋_GB2312" w:cs="仿宋_GB2312"/>
                          <w:szCs w:val="32"/>
                        </w:rPr>
                      </w:pPr>
                      <w:r>
                        <w:rPr>
                          <w:rFonts w:hint="eastAsia" w:ascii="仿宋_GB2312" w:hAnsi="仿宋_GB2312" w:eastAsia="仿宋_GB2312" w:cs="仿宋_GB2312"/>
                          <w:i w:val="0"/>
                          <w:caps w:val="0"/>
                          <w:color w:val="000000"/>
                          <w:spacing w:val="0"/>
                          <w:kern w:val="0"/>
                          <w:sz w:val="32"/>
                          <w:szCs w:val="32"/>
                          <w:lang w:val="en-US" w:eastAsia="zh-CN" w:bidi="ar"/>
                        </w:rPr>
                        <w:t>闽科规〔2026〕1号</w:t>
                      </w:r>
                    </w:p>
                    <w:p w14:paraId="188BC7CE">
                      <w:pPr>
                        <w:widowControl/>
                        <w:ind w:firstLine="480" w:firstLineChars="150"/>
                        <w:jc w:val="left"/>
                        <w:rPr>
                          <w:rFonts w:ascii="仿宋" w:hAnsi="仿宋" w:eastAsia="仿宋" w:cs="仿宋"/>
                          <w:color w:val="000000"/>
                          <w:kern w:val="0"/>
                          <w:szCs w:val="32"/>
                          <w:lang w:bidi="ar"/>
                        </w:rPr>
                      </w:pPr>
                    </w:p>
                    <w:p w14:paraId="4393ED58">
                      <w:pPr>
                        <w:widowControl/>
                        <w:ind w:firstLine="480" w:firstLineChars="150"/>
                        <w:jc w:val="left"/>
                        <w:rPr>
                          <w:rFonts w:ascii="仿宋" w:hAnsi="仿宋" w:eastAsia="仿宋" w:cs="仿宋"/>
                          <w:color w:val="000000"/>
                          <w:kern w:val="0"/>
                          <w:szCs w:val="32"/>
                          <w:lang w:bidi="ar"/>
                        </w:rPr>
                      </w:pPr>
                    </w:p>
                    <w:p w14:paraId="6FEEC4FC">
                      <w:pPr>
                        <w:jc w:val="center"/>
                      </w:pPr>
                    </w:p>
                  </w:txbxContent>
                </v:textbox>
              </v:shape>
            </w:pict>
          </mc:Fallback>
        </mc:AlternateContent>
      </w:r>
      <w:r>
        <w:rPr>
          <w:rFonts w:hint="eastAsia" w:ascii="黑体" w:eastAsia="黑体"/>
          <w:b/>
          <w:szCs w:val="32"/>
        </w:rPr>
        <w:t xml:space="preserve">                                                     </w:t>
      </w:r>
    </w:p>
    <w:p w14:paraId="03D01ED0">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2DADB0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福建省科学技术厅关于印发</w:t>
      </w: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rPr>
        <w:t>福建省重点</w:t>
      </w:r>
    </w:p>
    <w:p w14:paraId="61E481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实验室管理办法</w:t>
      </w: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rPr>
        <w:t>的通知</w:t>
      </w:r>
    </w:p>
    <w:p w14:paraId="75FABA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p>
    <w:p w14:paraId="5235BA7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Cs w:val="32"/>
        </w:rPr>
      </w:pPr>
      <w:r>
        <w:rPr>
          <w:rFonts w:hint="default" w:ascii="仿宋" w:hAnsi="仿宋" w:eastAsia="仿宋" w:cs="仿宋"/>
          <w:szCs w:val="32"/>
        </w:rPr>
        <w:t>各设区市科技局、平潭综合实验区经济发展局，省直有关部门，各高校、科研院所、企业：</w:t>
      </w:r>
    </w:p>
    <w:p w14:paraId="76FC0A2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Cs w:val="32"/>
          <w:lang w:val="en-US" w:eastAsia="zh-CN"/>
        </w:rPr>
      </w:pPr>
      <w:r>
        <w:rPr>
          <w:rFonts w:hint="eastAsia" w:ascii="仿宋" w:hAnsi="仿宋" w:eastAsia="仿宋" w:cs="仿宋"/>
          <w:szCs w:val="32"/>
          <w:lang w:val="en-US" w:eastAsia="zh-CN"/>
        </w:rPr>
        <w:t xml:space="preserve">    为衔接全国重点实验室优化重组的新变化，按照省委、省政府对高能级创新平台建设的新要求，结合《全国重点实验室管理办法》《福建省人民政府关于加快推进科技创新发展的通知》有关精神，修订了《福建省重点实验室管理办法》，现印发实施，请予遵照执行。</w:t>
      </w:r>
    </w:p>
    <w:p w14:paraId="5B4E685C">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Cs w:val="32"/>
        </w:rPr>
      </w:pPr>
    </w:p>
    <w:p w14:paraId="08B07317">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Cs w:val="32"/>
        </w:rPr>
      </w:pPr>
      <w:r>
        <w:rPr>
          <w:rFonts w:hint="eastAsia" w:ascii="仿宋" w:hAnsi="仿宋" w:eastAsia="仿宋" w:cs="仿宋"/>
          <w:szCs w:val="32"/>
        </w:rPr>
        <w:t xml:space="preserve">                           福建省科学技术厅 </w:t>
      </w:r>
    </w:p>
    <w:p w14:paraId="6696CBD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Cs w:val="32"/>
        </w:rPr>
      </w:pPr>
      <w:r>
        <w:rPr>
          <w:rFonts w:hint="eastAsia" w:ascii="仿宋" w:hAnsi="仿宋" w:eastAsia="仿宋" w:cs="仿宋"/>
          <w:szCs w:val="32"/>
        </w:rPr>
        <w:t xml:space="preserve">                            202</w:t>
      </w:r>
      <w:r>
        <w:rPr>
          <w:rFonts w:hint="eastAsia" w:ascii="仿宋" w:hAnsi="仿宋" w:eastAsia="仿宋" w:cs="仿宋"/>
          <w:szCs w:val="32"/>
          <w:lang w:val="en-US" w:eastAsia="zh-CN"/>
        </w:rPr>
        <w:t>6</w:t>
      </w:r>
      <w:r>
        <w:rPr>
          <w:rFonts w:hint="eastAsia" w:ascii="仿宋" w:hAnsi="仿宋" w:eastAsia="仿宋" w:cs="仿宋"/>
          <w:szCs w:val="32"/>
        </w:rPr>
        <w:t>年</w:t>
      </w:r>
      <w:r>
        <w:rPr>
          <w:rFonts w:hint="eastAsia" w:ascii="仿宋" w:hAnsi="仿宋" w:eastAsia="仿宋" w:cs="仿宋"/>
          <w:szCs w:val="32"/>
          <w:lang w:val="en-US" w:eastAsia="zh-CN"/>
        </w:rPr>
        <w:t>1</w:t>
      </w:r>
      <w:r>
        <w:rPr>
          <w:rFonts w:hint="eastAsia" w:ascii="仿宋" w:hAnsi="仿宋" w:eastAsia="仿宋" w:cs="仿宋"/>
          <w:szCs w:val="32"/>
        </w:rPr>
        <w:t>月</w:t>
      </w:r>
      <w:r>
        <w:rPr>
          <w:rFonts w:hint="eastAsia" w:ascii="仿宋" w:hAnsi="仿宋" w:eastAsia="仿宋" w:cs="仿宋"/>
          <w:szCs w:val="32"/>
          <w:lang w:val="en-US" w:eastAsia="zh-CN"/>
        </w:rPr>
        <w:t>13</w:t>
      </w:r>
      <w:r>
        <w:rPr>
          <w:rFonts w:hint="eastAsia" w:ascii="仿宋" w:hAnsi="仿宋" w:eastAsia="仿宋" w:cs="仿宋"/>
          <w:szCs w:val="32"/>
        </w:rPr>
        <w:t>日</w:t>
      </w:r>
    </w:p>
    <w:p w14:paraId="7B567DB8">
      <w:pPr>
        <w:spacing w:line="520" w:lineRule="exact"/>
        <w:jc w:val="left"/>
        <w:rPr>
          <w:rFonts w:hint="eastAsia" w:ascii="方正小标宋简体" w:hAnsi="宋体" w:eastAsia="方正小标宋简体"/>
          <w:color w:val="000000"/>
          <w:sz w:val="44"/>
          <w:szCs w:val="44"/>
          <w:lang w:eastAsia="zh-CN"/>
        </w:rPr>
      </w:pPr>
      <w:r>
        <w:rPr>
          <w:rFonts w:hint="eastAsia" w:ascii="仿宋" w:hAnsi="仿宋" w:eastAsia="仿宋" w:cs="仿宋"/>
          <w:szCs w:val="32"/>
        </w:rPr>
        <w:t xml:space="preserve">    （此件</w:t>
      </w:r>
      <w:r>
        <w:rPr>
          <w:rFonts w:hint="default" w:ascii="仿宋" w:hAnsi="仿宋" w:eastAsia="仿宋" w:cs="仿宋"/>
          <w:szCs w:val="32"/>
        </w:rPr>
        <w:t>主动公开</w:t>
      </w:r>
      <w:r>
        <w:rPr>
          <w:rFonts w:hint="eastAsia" w:ascii="仿宋" w:hAnsi="仿宋" w:eastAsia="仿宋" w:cs="仿宋"/>
          <w:szCs w:val="32"/>
        </w:rPr>
        <w:t>）</w:t>
      </w:r>
    </w:p>
    <w:p w14:paraId="51577761">
      <w:pPr>
        <w:spacing w:line="56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福建省重点实验室管理办法</w:t>
      </w:r>
    </w:p>
    <w:p w14:paraId="2F997241">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第一章 总  则</w:t>
      </w:r>
    </w:p>
    <w:p w14:paraId="08A6A12C">
      <w:pPr>
        <w:spacing w:line="560" w:lineRule="exact"/>
        <w:ind w:firstLine="674" w:firstLineChars="200"/>
        <w:rPr>
          <w:rFonts w:hint="eastAsia" w:ascii="仿宋_GB2312"/>
          <w:color w:val="000000"/>
          <w:szCs w:val="32"/>
        </w:rPr>
      </w:pPr>
      <w:r>
        <w:rPr>
          <w:rFonts w:hint="eastAsia" w:ascii="仿宋_GB2312"/>
          <w:color w:val="000000"/>
          <w:szCs w:val="32"/>
        </w:rPr>
        <w:t>第一条 为贯彻党中央、国务院决策部署，落实省委</w:t>
      </w:r>
      <w:r>
        <w:rPr>
          <w:rFonts w:hint="eastAsia" w:ascii="仿宋_GB2312"/>
          <w:color w:val="000000"/>
          <w:szCs w:val="32"/>
          <w:lang w:eastAsia="zh-CN"/>
        </w:rPr>
        <w:t>、</w:t>
      </w:r>
      <w:bookmarkStart w:id="9" w:name="_GoBack"/>
      <w:bookmarkEnd w:id="9"/>
      <w:r>
        <w:rPr>
          <w:rFonts w:hint="eastAsia" w:ascii="仿宋_GB2312"/>
          <w:color w:val="000000"/>
          <w:szCs w:val="32"/>
        </w:rPr>
        <w:t>省政府有关工作要求，规范和加强福建省重点实验室（以下简称省重点实验室）的建设、运行和管理，壮大福建战略科技力量，结合福建实际，根据有关规定，</w:t>
      </w:r>
      <w:r>
        <w:rPr>
          <w:rFonts w:hint="eastAsia" w:ascii="仿宋_GB2312"/>
          <w:color w:val="000000"/>
          <w:szCs w:val="32"/>
          <w:lang w:eastAsia="zh-CN"/>
        </w:rPr>
        <w:t>修订</w:t>
      </w:r>
      <w:r>
        <w:rPr>
          <w:rFonts w:hint="eastAsia" w:ascii="仿宋_GB2312"/>
          <w:color w:val="000000"/>
          <w:szCs w:val="32"/>
        </w:rPr>
        <w:t>本办法。</w:t>
      </w:r>
    </w:p>
    <w:p w14:paraId="4ADA8B94">
      <w:pPr>
        <w:spacing w:line="560" w:lineRule="exact"/>
        <w:ind w:firstLine="674" w:firstLineChars="200"/>
        <w:rPr>
          <w:rFonts w:ascii="仿宋_GB2312"/>
          <w:color w:val="000000"/>
          <w:szCs w:val="32"/>
        </w:rPr>
      </w:pPr>
      <w:r>
        <w:rPr>
          <w:rFonts w:hint="eastAsia" w:ascii="仿宋_GB2312"/>
          <w:color w:val="000000"/>
          <w:szCs w:val="32"/>
        </w:rPr>
        <w:t>第二条 省重点</w:t>
      </w:r>
      <w:r>
        <w:rPr>
          <w:rFonts w:ascii="仿宋_GB2312"/>
          <w:color w:val="000000"/>
          <w:szCs w:val="32"/>
        </w:rPr>
        <w:t>实验室是</w:t>
      </w:r>
      <w:r>
        <w:rPr>
          <w:rFonts w:hint="eastAsia" w:ascii="仿宋_GB2312"/>
          <w:color w:val="000000"/>
          <w:szCs w:val="32"/>
        </w:rPr>
        <w:t>福建省</w:t>
      </w:r>
      <w:r>
        <w:rPr>
          <w:rFonts w:ascii="仿宋_GB2312"/>
          <w:color w:val="000000"/>
          <w:szCs w:val="32"/>
        </w:rPr>
        <w:t>科技创新体系的重要组成部分，</w:t>
      </w:r>
      <w:r>
        <w:rPr>
          <w:rFonts w:hint="eastAsia" w:ascii="仿宋_GB2312"/>
          <w:color w:val="000000"/>
          <w:szCs w:val="32"/>
        </w:rPr>
        <w:t>是组织开展高水平</w:t>
      </w:r>
      <w:bookmarkStart w:id="0" w:name="_Hlk175401944"/>
      <w:r>
        <w:rPr>
          <w:rFonts w:hint="eastAsia" w:ascii="仿宋_GB2312"/>
          <w:color w:val="000000"/>
          <w:szCs w:val="32"/>
        </w:rPr>
        <w:t>基础研究、应用基础研究、前沿技术研究</w:t>
      </w:r>
      <w:bookmarkEnd w:id="0"/>
      <w:r>
        <w:rPr>
          <w:rFonts w:hint="eastAsia" w:ascii="仿宋_GB2312"/>
          <w:color w:val="000000"/>
          <w:szCs w:val="32"/>
        </w:rPr>
        <w:t>，实现重大原始创新，支撑关键核心技术突破，凝聚培养优秀创新人才，开展高水平创新合作的重要科技创新平台。</w:t>
      </w:r>
    </w:p>
    <w:p w14:paraId="5E1E7A69">
      <w:pPr>
        <w:spacing w:line="560" w:lineRule="exact"/>
        <w:ind w:firstLine="674" w:firstLineChars="200"/>
        <w:rPr>
          <w:rFonts w:hint="eastAsia" w:ascii="仿宋_GB2312"/>
          <w:color w:val="000000"/>
          <w:szCs w:val="32"/>
        </w:rPr>
      </w:pPr>
      <w:r>
        <w:rPr>
          <w:rFonts w:hint="eastAsia" w:ascii="仿宋_GB2312"/>
          <w:color w:val="000000"/>
          <w:szCs w:val="32"/>
        </w:rPr>
        <w:t>第三条 省</w:t>
      </w:r>
      <w:r>
        <w:rPr>
          <w:rFonts w:hint="eastAsia" w:ascii="仿宋_GB2312" w:hAnsi="微软雅黑" w:cs="宋体"/>
          <w:color w:val="000000"/>
          <w:kern w:val="0"/>
          <w:szCs w:val="32"/>
        </w:rPr>
        <w:t>重点实验室必须坚持“四个面向”，围绕</w:t>
      </w:r>
      <w:r>
        <w:rPr>
          <w:rFonts w:hint="eastAsia" w:ascii="仿宋_GB2312"/>
          <w:color w:val="000000"/>
          <w:szCs w:val="32"/>
        </w:rPr>
        <w:t>国家和福建重大战略需求、重点发展战略领域开展科研攻关，解决学科发展前沿及福建国民经济和社会发展重要科学问题，加快构建新质生产力，服务支撑福建经济社会高质量发展和高水平科技自立自强。</w:t>
      </w:r>
    </w:p>
    <w:p w14:paraId="4397BE16">
      <w:pPr>
        <w:spacing w:line="560" w:lineRule="exact"/>
        <w:ind w:firstLine="674" w:firstLineChars="200"/>
        <w:rPr>
          <w:rFonts w:hint="eastAsia" w:ascii="仿宋_GB2312" w:hAnsi="微软雅黑" w:cs="宋体"/>
          <w:color w:val="000000"/>
          <w:kern w:val="0"/>
          <w:szCs w:val="32"/>
        </w:rPr>
      </w:pPr>
      <w:r>
        <w:rPr>
          <w:rFonts w:hint="eastAsia" w:ascii="仿宋_GB2312" w:hAnsi="微软雅黑" w:cs="宋体"/>
          <w:color w:val="000000"/>
          <w:kern w:val="0"/>
          <w:szCs w:val="32"/>
        </w:rPr>
        <w:t xml:space="preserve">第四条 </w:t>
      </w:r>
      <w:r>
        <w:rPr>
          <w:rFonts w:hint="eastAsia" w:ascii="仿宋_GB2312"/>
          <w:color w:val="000000"/>
          <w:szCs w:val="32"/>
        </w:rPr>
        <w:t>省重点实验室</w:t>
      </w:r>
      <w:r>
        <w:rPr>
          <w:rFonts w:hint="eastAsia" w:ascii="仿宋_GB2312" w:hAnsi="微软雅黑" w:cs="宋体"/>
          <w:color w:val="000000"/>
          <w:kern w:val="0"/>
          <w:szCs w:val="32"/>
        </w:rPr>
        <w:t>坚持分类管理，遵循统一规划、多方投入、稳定支持、定期评价、动态调整的原则，着力构建定位明确、布局合理、特色鲜明、机制创新、保障有力的省重点实验室体系。</w:t>
      </w:r>
    </w:p>
    <w:p w14:paraId="375A3FF6">
      <w:pPr>
        <w:spacing w:line="560" w:lineRule="exact"/>
        <w:ind w:firstLine="674" w:firstLineChars="200"/>
        <w:rPr>
          <w:rFonts w:ascii="仿宋_GB2312" w:hAnsi="微软雅黑" w:cs="宋体"/>
          <w:color w:val="000000"/>
          <w:kern w:val="0"/>
          <w:szCs w:val="32"/>
          <w:shd w:val="pct10" w:color="auto" w:fill="FFFFFF"/>
        </w:rPr>
      </w:pPr>
      <w:r>
        <w:rPr>
          <w:rFonts w:hint="eastAsia" w:ascii="仿宋_GB2312"/>
          <w:color w:val="000000"/>
          <w:szCs w:val="32"/>
        </w:rPr>
        <w:t>第五条</w:t>
      </w:r>
      <w:r>
        <w:rPr>
          <w:rFonts w:hint="eastAsia" w:ascii="仿宋_GB2312" w:hAnsi="微软雅黑" w:cs="宋体"/>
          <w:color w:val="000000"/>
          <w:kern w:val="0"/>
          <w:szCs w:val="32"/>
        </w:rPr>
        <w:t xml:space="preserve"> </w:t>
      </w:r>
      <w:r>
        <w:rPr>
          <w:rFonts w:hint="eastAsia" w:ascii="仿宋_GB2312"/>
          <w:color w:val="000000"/>
          <w:szCs w:val="32"/>
        </w:rPr>
        <w:t>省重点实验室依托我省高校、科研院所、企业等法人主体（统称依托单位）建设</w:t>
      </w:r>
      <w:r>
        <w:rPr>
          <w:rFonts w:hint="eastAsia" w:ascii="仿宋_GB2312"/>
          <w:color w:val="000000"/>
          <w:szCs w:val="32"/>
          <w:lang w:eastAsia="zh-CN"/>
        </w:rPr>
        <w:t>，</w:t>
      </w:r>
      <w:r>
        <w:rPr>
          <w:rFonts w:hint="eastAsia" w:ascii="仿宋_GB2312"/>
          <w:color w:val="000000"/>
          <w:szCs w:val="32"/>
        </w:rPr>
        <w:t>建设与运行经费</w:t>
      </w:r>
      <w:r>
        <w:rPr>
          <w:rFonts w:hint="eastAsia" w:ascii="仿宋_GB2312" w:hAnsi="宋体"/>
          <w:color w:val="000000"/>
          <w:szCs w:val="32"/>
        </w:rPr>
        <w:t>主要由依托单位和业务主管部门承担，</w:t>
      </w:r>
      <w:r>
        <w:rPr>
          <w:rFonts w:hint="eastAsia" w:ascii="仿宋_GB2312" w:hAnsi="微软雅黑" w:cs="宋体"/>
          <w:color w:val="000000"/>
          <w:kern w:val="0"/>
          <w:szCs w:val="32"/>
        </w:rPr>
        <w:t>经费应单独核算、</w:t>
      </w:r>
      <w:r>
        <w:rPr>
          <w:rFonts w:hint="eastAsia" w:ascii="仿宋_GB2312"/>
          <w:color w:val="000000"/>
          <w:szCs w:val="32"/>
        </w:rPr>
        <w:t>专款专用，</w:t>
      </w:r>
      <w:r>
        <w:rPr>
          <w:rFonts w:hint="eastAsia" w:ascii="仿宋_GB2312" w:hAnsi="微软雅黑" w:cs="宋体"/>
          <w:color w:val="000000"/>
          <w:kern w:val="0"/>
          <w:szCs w:val="32"/>
        </w:rPr>
        <w:t>实行人、财、物相对独立的管理体制和“开放、流动、合作、竞争”的运行机制。</w:t>
      </w:r>
    </w:p>
    <w:p w14:paraId="6CA8BA38">
      <w:pPr>
        <w:spacing w:line="560" w:lineRule="exact"/>
        <w:ind w:firstLine="674" w:firstLineChars="200"/>
        <w:rPr>
          <w:rFonts w:hint="eastAsia" w:ascii="仿宋_GB2312" w:hAnsi="宋体"/>
          <w:color w:val="000000"/>
          <w:szCs w:val="32"/>
        </w:rPr>
      </w:pPr>
      <w:r>
        <w:rPr>
          <w:rFonts w:hint="eastAsia" w:ascii="仿宋_GB2312" w:hAnsi="微软雅黑" w:cs="宋体"/>
          <w:color w:val="000000"/>
          <w:kern w:val="0"/>
          <w:szCs w:val="32"/>
        </w:rPr>
        <w:t>第六条 业务主管部门、依托单位和地方应统筹各方资源，强化多元投入，鼓励企业、金融机构和社会力量支持保障省重点实验室建设发展。对符合条件的省重点实验室予以各类科技计划（专项、基金等）、人才计划、条件能力建设项目等积极支持。</w:t>
      </w:r>
      <w:r>
        <w:rPr>
          <w:rFonts w:ascii="仿宋_GB2312" w:hAnsi="宋体"/>
          <w:color w:val="000000"/>
          <w:szCs w:val="32"/>
        </w:rPr>
        <w:t>依托单位</w:t>
      </w:r>
      <w:r>
        <w:rPr>
          <w:rFonts w:hint="eastAsia" w:ascii="仿宋_GB2312" w:hAnsi="宋体"/>
          <w:color w:val="000000"/>
          <w:szCs w:val="32"/>
        </w:rPr>
        <w:t>每年应</w:t>
      </w:r>
      <w:r>
        <w:rPr>
          <w:rFonts w:ascii="仿宋_GB2312" w:hAnsi="宋体"/>
          <w:color w:val="000000"/>
          <w:szCs w:val="32"/>
        </w:rPr>
        <w:t>提供</w:t>
      </w:r>
      <w:r>
        <w:rPr>
          <w:rFonts w:hint="eastAsia" w:ascii="仿宋_GB2312" w:hAnsi="微软雅黑" w:cs="宋体"/>
          <w:color w:val="000000"/>
          <w:kern w:val="0"/>
          <w:szCs w:val="32"/>
        </w:rPr>
        <w:t>不少于</w:t>
      </w:r>
      <w:r>
        <w:rPr>
          <w:rFonts w:hint="eastAsia" w:ascii="仿宋_GB2312" w:hAnsi="宋体"/>
          <w:color w:val="000000"/>
          <w:szCs w:val="32"/>
        </w:rPr>
        <w:t>100万元</w:t>
      </w:r>
      <w:r>
        <w:rPr>
          <w:rFonts w:hint="eastAsia" w:ascii="仿宋_GB2312" w:hAnsi="微软雅黑" w:cs="宋体"/>
          <w:color w:val="000000"/>
          <w:kern w:val="0"/>
          <w:szCs w:val="32"/>
        </w:rPr>
        <w:t>的</w:t>
      </w:r>
      <w:r>
        <w:rPr>
          <w:rFonts w:hint="eastAsia" w:ascii="仿宋_GB2312" w:hAnsi="宋体"/>
          <w:color w:val="000000"/>
          <w:szCs w:val="32"/>
        </w:rPr>
        <w:t>运行经费，</w:t>
      </w:r>
      <w:r>
        <w:rPr>
          <w:rFonts w:hint="eastAsia" w:ascii="仿宋_GB2312"/>
          <w:color w:val="000000"/>
          <w:szCs w:val="32"/>
        </w:rPr>
        <w:t>用于支持</w:t>
      </w:r>
      <w:r>
        <w:rPr>
          <w:rFonts w:hint="eastAsia" w:ascii="仿宋_GB2312" w:hAnsi="微软雅黑" w:cs="宋体"/>
          <w:color w:val="000000"/>
          <w:kern w:val="0"/>
          <w:szCs w:val="32"/>
        </w:rPr>
        <w:t>省重点实验室</w:t>
      </w:r>
      <w:r>
        <w:rPr>
          <w:rFonts w:hint="eastAsia" w:ascii="仿宋_GB2312"/>
          <w:color w:val="000000"/>
          <w:szCs w:val="32"/>
        </w:rPr>
        <w:t>的开放运行、队伍建设与科研仪器设备运行维护等</w:t>
      </w:r>
      <w:r>
        <w:rPr>
          <w:rFonts w:hint="eastAsia" w:ascii="仿宋_GB2312" w:hAnsi="微软雅黑" w:cs="宋体"/>
          <w:color w:val="000000"/>
          <w:kern w:val="0"/>
          <w:szCs w:val="32"/>
        </w:rPr>
        <w:t>。</w:t>
      </w:r>
    </w:p>
    <w:p w14:paraId="7D76598C">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第二章 职  责</w:t>
      </w:r>
    </w:p>
    <w:p w14:paraId="5CE4141F">
      <w:pPr>
        <w:spacing w:line="560" w:lineRule="exact"/>
        <w:ind w:firstLine="674" w:firstLineChars="200"/>
        <w:rPr>
          <w:rFonts w:hint="eastAsia" w:ascii="仿宋_GB2312"/>
          <w:color w:val="000000"/>
          <w:szCs w:val="32"/>
        </w:rPr>
      </w:pPr>
      <w:r>
        <w:rPr>
          <w:rFonts w:hint="eastAsia" w:ascii="仿宋_GB2312"/>
          <w:color w:val="000000"/>
          <w:szCs w:val="32"/>
        </w:rPr>
        <w:t>第</w:t>
      </w:r>
      <w:r>
        <w:rPr>
          <w:rFonts w:hint="eastAsia" w:ascii="仿宋_GB2312" w:hAnsi="微软雅黑" w:cs="宋体"/>
          <w:color w:val="000000"/>
          <w:kern w:val="0"/>
          <w:szCs w:val="32"/>
        </w:rPr>
        <w:t>七</w:t>
      </w:r>
      <w:r>
        <w:rPr>
          <w:rFonts w:hint="eastAsia" w:ascii="仿宋_GB2312"/>
          <w:color w:val="000000"/>
          <w:szCs w:val="32"/>
        </w:rPr>
        <w:t>条</w:t>
      </w:r>
      <w:r>
        <w:rPr>
          <w:rFonts w:hint="eastAsia" w:ascii="仿宋_GB2312" w:hAnsi="微软雅黑" w:cs="宋体"/>
          <w:color w:val="000000"/>
          <w:kern w:val="0"/>
          <w:szCs w:val="32"/>
        </w:rPr>
        <w:t xml:space="preserve"> </w:t>
      </w:r>
      <w:r>
        <w:rPr>
          <w:rFonts w:hint="eastAsia" w:ascii="仿宋_GB2312"/>
          <w:color w:val="000000"/>
          <w:szCs w:val="32"/>
        </w:rPr>
        <w:t>福建省科学技术厅（以下简称省科技厅）是省重点实验室的</w:t>
      </w:r>
      <w:r>
        <w:rPr>
          <w:rFonts w:hint="eastAsia" w:ascii="仿宋_GB2312"/>
          <w:color w:val="000000"/>
          <w:szCs w:val="32"/>
          <w:lang w:eastAsia="zh-CN"/>
        </w:rPr>
        <w:t>牵头</w:t>
      </w:r>
      <w:r>
        <w:rPr>
          <w:rFonts w:hint="eastAsia" w:ascii="仿宋_GB2312"/>
          <w:color w:val="000000"/>
          <w:szCs w:val="32"/>
        </w:rPr>
        <w:t>管理部门，主要职责是：</w:t>
      </w:r>
    </w:p>
    <w:p w14:paraId="6B0113CF">
      <w:pPr>
        <w:spacing w:line="560" w:lineRule="exact"/>
        <w:ind w:firstLine="674" w:firstLineChars="200"/>
        <w:rPr>
          <w:rFonts w:ascii="仿宋_GB2312"/>
          <w:color w:val="000000"/>
          <w:szCs w:val="32"/>
        </w:rPr>
      </w:pPr>
      <w:r>
        <w:rPr>
          <w:rFonts w:hint="eastAsia" w:ascii="仿宋_GB2312"/>
          <w:color w:val="000000"/>
          <w:szCs w:val="32"/>
        </w:rPr>
        <w:t>（一）制定省重点实验室建设的支持政策和管理办法，明确规划布局、建设和管理要求。</w:t>
      </w:r>
    </w:p>
    <w:p w14:paraId="64171320">
      <w:pPr>
        <w:spacing w:line="560" w:lineRule="exact"/>
        <w:ind w:firstLine="674" w:firstLineChars="200"/>
        <w:rPr>
          <w:rFonts w:hint="eastAsia" w:ascii="仿宋_GB2312"/>
          <w:strike/>
          <w:color w:val="000000"/>
          <w:szCs w:val="32"/>
        </w:rPr>
      </w:pPr>
      <w:r>
        <w:rPr>
          <w:rFonts w:hint="eastAsia" w:ascii="仿宋_GB2312"/>
          <w:color w:val="000000"/>
          <w:szCs w:val="32"/>
        </w:rPr>
        <w:t>（二）组织省重点实验室的认定建设、考核评估和调整撤销。</w:t>
      </w:r>
    </w:p>
    <w:p w14:paraId="11038B14">
      <w:pPr>
        <w:spacing w:line="560" w:lineRule="exact"/>
        <w:ind w:firstLine="674" w:firstLineChars="200"/>
        <w:rPr>
          <w:rFonts w:hint="eastAsia" w:ascii="仿宋_GB2312"/>
          <w:color w:val="000000"/>
          <w:szCs w:val="32"/>
        </w:rPr>
      </w:pPr>
      <w:r>
        <w:rPr>
          <w:rFonts w:hint="eastAsia" w:ascii="仿宋_GB2312"/>
          <w:color w:val="000000"/>
          <w:szCs w:val="32"/>
        </w:rPr>
        <w:t>（三）统筹管理省重点实验室建设、运行，督促指导主管部门落实管理职责。</w:t>
      </w:r>
    </w:p>
    <w:p w14:paraId="5937A4E6">
      <w:pPr>
        <w:spacing w:line="560" w:lineRule="exact"/>
        <w:ind w:firstLine="674" w:firstLineChars="200"/>
        <w:rPr>
          <w:rFonts w:hint="eastAsia" w:ascii="仿宋_GB2312"/>
          <w:color w:val="000000"/>
          <w:szCs w:val="32"/>
        </w:rPr>
      </w:pPr>
      <w:r>
        <w:rPr>
          <w:rFonts w:hint="eastAsia" w:ascii="仿宋_GB2312"/>
          <w:color w:val="000000"/>
          <w:szCs w:val="32"/>
        </w:rPr>
        <w:t>第八条 设区市科技主管部门及依托单位的主管部门是本地区、本部门省重点实验室的业务主管部门，主要职责是：</w:t>
      </w:r>
    </w:p>
    <w:p w14:paraId="15A2C8F2">
      <w:pPr>
        <w:spacing w:line="560" w:lineRule="exact"/>
        <w:ind w:firstLine="674" w:firstLineChars="200"/>
        <w:rPr>
          <w:rFonts w:hint="eastAsia" w:ascii="仿宋_GB2312"/>
          <w:color w:val="000000"/>
          <w:szCs w:val="32"/>
        </w:rPr>
      </w:pPr>
      <w:r>
        <w:rPr>
          <w:rFonts w:hint="eastAsia" w:ascii="仿宋_GB2312"/>
          <w:color w:val="000000"/>
          <w:szCs w:val="32"/>
        </w:rPr>
        <w:t>（一）负责本地区、本部门省重点实验室的管理工作，支持、保障和指导省重点实验室的建设和运行，协调解决建设和运行中存在的困难和问题。</w:t>
      </w:r>
    </w:p>
    <w:p w14:paraId="157AD01C">
      <w:pPr>
        <w:spacing w:line="560" w:lineRule="exact"/>
        <w:ind w:firstLine="674" w:firstLineChars="200"/>
        <w:rPr>
          <w:rFonts w:hint="eastAsia" w:ascii="仿宋_GB2312"/>
          <w:color w:val="000000"/>
          <w:szCs w:val="32"/>
        </w:rPr>
      </w:pPr>
      <w:r>
        <w:rPr>
          <w:rFonts w:hint="eastAsia" w:ascii="仿宋_GB2312"/>
          <w:color w:val="000000"/>
          <w:szCs w:val="32"/>
        </w:rPr>
        <w:t>（二）督促省重点实验室完善并落实科研项目、人才队伍、经费使用、知识产权、仪器设备、安全管理等制度。</w:t>
      </w:r>
    </w:p>
    <w:p w14:paraId="05B52C98">
      <w:pPr>
        <w:spacing w:line="560" w:lineRule="exact"/>
        <w:ind w:firstLine="674" w:firstLineChars="200"/>
        <w:rPr>
          <w:rFonts w:ascii="仿宋_GB2312"/>
          <w:color w:val="000000"/>
          <w:szCs w:val="32"/>
          <w:shd w:val="pct10" w:color="auto" w:fill="FFFFFF"/>
        </w:rPr>
      </w:pPr>
      <w:r>
        <w:rPr>
          <w:rFonts w:hint="eastAsia" w:ascii="仿宋_GB2312"/>
          <w:color w:val="000000"/>
          <w:szCs w:val="32"/>
        </w:rPr>
        <w:t>（三）组织开展省重点实验室申报推荐工作，配合开展总结、验收、考核评估等管理工作。</w:t>
      </w:r>
    </w:p>
    <w:p w14:paraId="0D7ADE9E">
      <w:pPr>
        <w:spacing w:line="560" w:lineRule="exact"/>
        <w:ind w:firstLine="674" w:firstLineChars="200"/>
        <w:rPr>
          <w:rFonts w:hint="eastAsia" w:ascii="仿宋_GB2312"/>
          <w:color w:val="000000"/>
          <w:szCs w:val="32"/>
        </w:rPr>
      </w:pPr>
      <w:r>
        <w:rPr>
          <w:rFonts w:hint="eastAsia" w:ascii="仿宋_GB2312"/>
          <w:color w:val="000000"/>
          <w:szCs w:val="32"/>
        </w:rPr>
        <w:t>第九条 依托单位是省重点实验室建设和运行管理的责任单位，主要职责是：</w:t>
      </w:r>
    </w:p>
    <w:p w14:paraId="6AFC5948">
      <w:pPr>
        <w:spacing w:line="560" w:lineRule="exact"/>
        <w:ind w:firstLine="674" w:firstLineChars="200"/>
        <w:rPr>
          <w:rFonts w:ascii="仿宋_GB2312"/>
          <w:strike/>
          <w:color w:val="000000"/>
          <w:szCs w:val="32"/>
        </w:rPr>
      </w:pPr>
      <w:r>
        <w:rPr>
          <w:rFonts w:hint="eastAsia" w:ascii="仿宋_GB2312"/>
          <w:color w:val="000000"/>
          <w:szCs w:val="32"/>
        </w:rPr>
        <w:t>（一）负责省重点实验室的建设、运行和日常管理，配合省科技厅和业务主管部门做好监督和检查。</w:t>
      </w:r>
    </w:p>
    <w:p w14:paraId="2AEEE66B">
      <w:pPr>
        <w:spacing w:line="560" w:lineRule="exact"/>
        <w:ind w:left="0" w:leftChars="0" w:firstLine="674" w:firstLineChars="200"/>
        <w:rPr>
          <w:rFonts w:hint="eastAsia" w:ascii="仿宋_GB2312"/>
          <w:snapToGrid w:val="0"/>
          <w:color w:val="000000"/>
          <w:kern w:val="0"/>
          <w:szCs w:val="32"/>
        </w:rPr>
      </w:pPr>
      <w:r>
        <w:rPr>
          <w:rFonts w:hint="eastAsia" w:ascii="仿宋_GB2312"/>
          <w:snapToGrid w:val="0"/>
          <w:color w:val="000000"/>
          <w:kern w:val="0"/>
          <w:szCs w:val="32"/>
        </w:rPr>
        <w:t>（二）聘任省重点实验室主任和学术委员会主任及委员。</w:t>
      </w:r>
    </w:p>
    <w:p w14:paraId="0A64470E">
      <w:pPr>
        <w:spacing w:line="560" w:lineRule="exact"/>
        <w:ind w:left="0" w:leftChars="0" w:firstLine="674" w:firstLineChars="200"/>
        <w:rPr>
          <w:rFonts w:hint="eastAsia" w:ascii="仿宋_GB2312"/>
          <w:color w:val="000000"/>
          <w:szCs w:val="32"/>
        </w:rPr>
      </w:pPr>
      <w:r>
        <w:rPr>
          <w:rFonts w:hint="eastAsia" w:ascii="仿宋_GB2312"/>
          <w:color w:val="000000"/>
          <w:szCs w:val="32"/>
        </w:rPr>
        <w:t>（三）落实实体化运行，为省重点实验室提供持续稳定的经费支持，做好省重点实验室科研项目、人才队伍、经费使用、知识产权、科研场地、仪器设备、安全保密以及其他必要的运行管理与条件保障。</w:t>
      </w:r>
    </w:p>
    <w:p w14:paraId="2E9636ED">
      <w:pPr>
        <w:spacing w:line="560" w:lineRule="exact"/>
        <w:ind w:firstLine="674" w:firstLineChars="200"/>
        <w:rPr>
          <w:rFonts w:hint="eastAsia" w:ascii="仿宋_GB2312"/>
          <w:color w:val="000000"/>
          <w:szCs w:val="32"/>
          <w:shd w:val="pct10" w:color="auto" w:fill="FFFFFF"/>
        </w:rPr>
      </w:pPr>
      <w:r>
        <w:rPr>
          <w:rFonts w:hint="eastAsia" w:ascii="仿宋_GB2312"/>
          <w:color w:val="000000"/>
          <w:szCs w:val="32"/>
        </w:rPr>
        <w:t>（四）做好</w:t>
      </w:r>
      <w:bookmarkStart w:id="1" w:name="_Hlk180653474"/>
      <w:r>
        <w:rPr>
          <w:rFonts w:hint="eastAsia" w:ascii="仿宋_GB2312"/>
          <w:color w:val="000000"/>
          <w:szCs w:val="32"/>
        </w:rPr>
        <w:t>省重点实验室申报、总结、验收与考核评估</w:t>
      </w:r>
      <w:bookmarkEnd w:id="1"/>
      <w:r>
        <w:rPr>
          <w:rFonts w:hint="eastAsia" w:ascii="仿宋_GB2312"/>
          <w:color w:val="000000"/>
          <w:szCs w:val="32"/>
        </w:rPr>
        <w:t>等相关工作。</w:t>
      </w:r>
    </w:p>
    <w:p w14:paraId="1EB5AB91">
      <w:pPr>
        <w:spacing w:line="560" w:lineRule="exact"/>
        <w:ind w:firstLine="674" w:firstLineChars="200"/>
        <w:rPr>
          <w:rFonts w:hint="eastAsia" w:ascii="仿宋_GB2312"/>
          <w:color w:val="000000"/>
          <w:szCs w:val="32"/>
        </w:rPr>
      </w:pPr>
      <w:r>
        <w:rPr>
          <w:rFonts w:hint="eastAsia" w:ascii="仿宋_GB2312"/>
          <w:color w:val="000000"/>
          <w:szCs w:val="32"/>
        </w:rPr>
        <w:t>（五）联合共建的省重点实验室，第一依托单位应发挥牵头作用，与第二依托单位充分协商，通过实验室负责人配备、学术委员会组成、内部议事决策规则建立等方式，共同履行职责。</w:t>
      </w:r>
    </w:p>
    <w:p w14:paraId="6CC3C22C">
      <w:pPr>
        <w:spacing w:line="560" w:lineRule="exact"/>
        <w:ind w:firstLine="674" w:firstLineChars="200"/>
        <w:rPr>
          <w:rFonts w:ascii="仿宋_GB2312"/>
          <w:color w:val="000000"/>
          <w:szCs w:val="32"/>
        </w:rPr>
      </w:pPr>
      <w:r>
        <w:rPr>
          <w:rFonts w:hint="eastAsia" w:ascii="仿宋_GB2312"/>
          <w:color w:val="000000"/>
          <w:szCs w:val="32"/>
        </w:rPr>
        <w:t>依托单位和业务主管部门是同一单位的，应同时履行第八条职责。</w:t>
      </w:r>
    </w:p>
    <w:p w14:paraId="4E7BA224">
      <w:pPr>
        <w:spacing w:line="560" w:lineRule="exact"/>
        <w:ind w:firstLine="674" w:firstLineChars="200"/>
        <w:rPr>
          <w:rFonts w:ascii="仿宋_GB2312"/>
          <w:color w:val="000000"/>
          <w:szCs w:val="32"/>
        </w:rPr>
      </w:pPr>
      <w:r>
        <w:rPr>
          <w:rFonts w:hint="eastAsia" w:ascii="仿宋_GB2312"/>
          <w:color w:val="000000"/>
          <w:szCs w:val="32"/>
        </w:rPr>
        <w:t>第十条 省重点实验室的主要职责是：</w:t>
      </w:r>
    </w:p>
    <w:p w14:paraId="034903C9">
      <w:pPr>
        <w:spacing w:line="560" w:lineRule="exact"/>
        <w:jc w:val="left"/>
        <w:rPr>
          <w:rFonts w:ascii="仿宋_GB2312"/>
          <w:color w:val="000000"/>
          <w:szCs w:val="32"/>
        </w:rPr>
      </w:pPr>
      <w:r>
        <w:rPr>
          <w:rFonts w:hint="eastAsia" w:ascii="仿宋_GB2312"/>
          <w:color w:val="000000"/>
          <w:szCs w:val="32"/>
        </w:rPr>
        <w:t xml:space="preserve">   （一）围绕战略定位和方向目标，开展有组织的高水平基础研究、应用基础研究、前沿技术研究，发挥在学科领域及行业科技进步中的引领作用，承担国家、省级重大科技任务，产出重大原创性成果，支撑关键核心技术突破，服务地方产业发展。</w:t>
      </w:r>
    </w:p>
    <w:p w14:paraId="1C0C078C">
      <w:pPr>
        <w:spacing w:line="560" w:lineRule="exact"/>
        <w:ind w:firstLine="674" w:firstLineChars="200"/>
        <w:rPr>
          <w:rFonts w:ascii="仿宋_GB2312"/>
          <w:color w:val="000000"/>
          <w:szCs w:val="32"/>
        </w:rPr>
      </w:pPr>
      <w:r>
        <w:rPr>
          <w:rFonts w:hint="eastAsia" w:ascii="仿宋_GB2312"/>
          <w:color w:val="000000"/>
          <w:szCs w:val="32"/>
        </w:rPr>
        <w:t>（二）打造高水平科研人才队伍，加强高层次人才引进，强化青年人才培养，构建合理有序的人才流动机制，形成持续创新能力。</w:t>
      </w:r>
    </w:p>
    <w:p w14:paraId="647B8E8C">
      <w:pPr>
        <w:spacing w:line="560" w:lineRule="exact"/>
        <w:ind w:firstLine="674" w:firstLineChars="200"/>
        <w:rPr>
          <w:rFonts w:ascii="仿宋_GB2312"/>
          <w:color w:val="000000"/>
          <w:szCs w:val="32"/>
        </w:rPr>
      </w:pPr>
      <w:r>
        <w:rPr>
          <w:rFonts w:hint="eastAsia" w:ascii="仿宋_GB2312"/>
          <w:color w:val="000000"/>
          <w:szCs w:val="32"/>
        </w:rPr>
        <w:t>（三）建立协同攻关创新机制，推动大型科研仪器和科学数据等科技资源开放共享。</w:t>
      </w:r>
    </w:p>
    <w:p w14:paraId="7276276F">
      <w:pPr>
        <w:spacing w:line="560" w:lineRule="exact"/>
        <w:ind w:firstLine="674" w:firstLineChars="200"/>
        <w:rPr>
          <w:rFonts w:hint="eastAsia" w:ascii="仿宋_GB2312"/>
          <w:color w:val="000000"/>
          <w:szCs w:val="32"/>
        </w:rPr>
      </w:pPr>
      <w:r>
        <w:rPr>
          <w:rFonts w:hint="eastAsia" w:ascii="仿宋_GB2312"/>
          <w:color w:val="000000"/>
          <w:szCs w:val="32"/>
        </w:rPr>
        <w:t>（四）开展国内外科技交流合作，鼓励与全国重点实验室等国家级创新平台开展合作，参加国内外学术组织。</w:t>
      </w:r>
    </w:p>
    <w:p w14:paraId="392966C5">
      <w:pPr>
        <w:spacing w:line="560" w:lineRule="exact"/>
        <w:ind w:firstLine="674" w:firstLineChars="200"/>
        <w:rPr>
          <w:rFonts w:hint="eastAsia" w:ascii="仿宋_GB2312"/>
          <w:color w:val="000000"/>
          <w:szCs w:val="32"/>
        </w:rPr>
      </w:pPr>
      <w:r>
        <w:rPr>
          <w:rFonts w:hint="eastAsia" w:ascii="仿宋_GB2312"/>
          <w:color w:val="000000"/>
          <w:szCs w:val="32"/>
        </w:rPr>
        <w:t>（五）加强党组织和党员队伍建设，切实发挥基层党组织战斗堡垒作用。加强学风作风和科研诚信建设，大力弘扬科学家精神，积极开展科学技术普及，营造良好创新环境。</w:t>
      </w:r>
    </w:p>
    <w:p w14:paraId="1408643E">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第三章 认定建设</w:t>
      </w:r>
    </w:p>
    <w:p w14:paraId="23AB96E7">
      <w:pPr>
        <w:adjustRightInd w:val="0"/>
        <w:snapToGrid w:val="0"/>
        <w:spacing w:line="560" w:lineRule="exact"/>
        <w:ind w:firstLine="674" w:firstLineChars="200"/>
        <w:rPr>
          <w:rFonts w:hint="eastAsia" w:ascii="仿宋_GB2312"/>
          <w:color w:val="000000"/>
          <w:szCs w:val="32"/>
        </w:rPr>
      </w:pPr>
      <w:r>
        <w:rPr>
          <w:rFonts w:hint="eastAsia" w:ascii="仿宋_GB2312"/>
          <w:color w:val="000000"/>
          <w:szCs w:val="32"/>
        </w:rPr>
        <w:t>第十一条 省重点实验室根据功能定位和目标任务，分为基础研究类、应用基础研究类、前沿技术研究类:</w:t>
      </w:r>
    </w:p>
    <w:p w14:paraId="6DC732BD">
      <w:pPr>
        <w:spacing w:line="560" w:lineRule="exact"/>
        <w:ind w:firstLine="674" w:firstLineChars="200"/>
        <w:rPr>
          <w:rFonts w:hint="eastAsia" w:ascii="仿宋_GB2312"/>
          <w:color w:val="000000"/>
          <w:szCs w:val="32"/>
        </w:rPr>
      </w:pPr>
      <w:r>
        <w:rPr>
          <w:rFonts w:hint="eastAsia" w:ascii="仿宋_GB2312"/>
          <w:color w:val="000000"/>
          <w:szCs w:val="32"/>
        </w:rPr>
        <w:t>（一）基础研究类重点实验室。侧重在本领域提出新问题、发现新现象、认识新规律、获得新知识、建立新理论，引领福建学科领域发展方向，开辟新的认知疆域。</w:t>
      </w:r>
    </w:p>
    <w:p w14:paraId="744DFAA1">
      <w:pPr>
        <w:spacing w:line="560" w:lineRule="exact"/>
        <w:ind w:firstLine="674" w:firstLineChars="200"/>
        <w:rPr>
          <w:rFonts w:hint="eastAsia" w:ascii="仿宋_GB2312"/>
          <w:color w:val="000000"/>
          <w:szCs w:val="32"/>
        </w:rPr>
      </w:pPr>
      <w:r>
        <w:rPr>
          <w:rFonts w:hint="eastAsia" w:ascii="仿宋_GB2312"/>
          <w:color w:val="000000"/>
          <w:szCs w:val="32"/>
        </w:rPr>
        <w:t>（二）应用基础研究类重点实验室。着重围绕国家和福建重大战略需求，凝练本领域重大科学问题，提出原创性新概念、新原理、新方法、支撑关键核心技术突破。</w:t>
      </w:r>
    </w:p>
    <w:p w14:paraId="45F41096">
      <w:pPr>
        <w:spacing w:line="560" w:lineRule="exact"/>
        <w:ind w:firstLine="674" w:firstLineChars="200"/>
        <w:rPr>
          <w:rFonts w:hint="eastAsia" w:ascii="仿宋_GB2312"/>
          <w:color w:val="000000"/>
          <w:szCs w:val="32"/>
        </w:rPr>
      </w:pPr>
      <w:r>
        <w:rPr>
          <w:rFonts w:hint="eastAsia" w:ascii="仿宋_GB2312"/>
          <w:color w:val="000000"/>
          <w:szCs w:val="32"/>
        </w:rPr>
        <w:t>（三）前沿技术研究类重点实验室。主要聚焦本领域未来技术更新换代和新兴产业发展中先导性、探索性的前沿引领技术，推动实现前瞻性基础研究、引领性成果重大突破。</w:t>
      </w:r>
    </w:p>
    <w:p w14:paraId="4955951A">
      <w:pPr>
        <w:spacing w:line="560" w:lineRule="exact"/>
        <w:ind w:firstLine="674" w:firstLineChars="200"/>
        <w:rPr>
          <w:rFonts w:hint="eastAsia" w:ascii="仿宋_GB2312"/>
          <w:color w:val="000000"/>
          <w:szCs w:val="32"/>
        </w:rPr>
      </w:pPr>
      <w:r>
        <w:rPr>
          <w:rFonts w:hint="eastAsia" w:ascii="仿宋_GB2312"/>
          <w:color w:val="000000"/>
          <w:szCs w:val="32"/>
        </w:rPr>
        <w:t>第十二条 省重点实验室围绕数理、化学、天文与空间、地球科学、环境、生物学、医药、农业、信息、材料、制造、工程、能源、海洋、综合交叉等领域布局。每个细分领域不重复建设。</w:t>
      </w:r>
    </w:p>
    <w:p w14:paraId="18174411">
      <w:pPr>
        <w:spacing w:line="560" w:lineRule="exact"/>
        <w:ind w:firstLine="674" w:firstLineChars="200"/>
        <w:rPr>
          <w:rFonts w:hint="eastAsia" w:ascii="仿宋_GB2312"/>
          <w:color w:val="000000"/>
          <w:szCs w:val="32"/>
        </w:rPr>
      </w:pPr>
      <w:r>
        <w:rPr>
          <w:rFonts w:hint="eastAsia" w:ascii="仿宋_GB2312"/>
          <w:color w:val="000000"/>
          <w:szCs w:val="32"/>
        </w:rPr>
        <w:t>第十三条 申报省重点实验室基本条件：</w:t>
      </w:r>
    </w:p>
    <w:p w14:paraId="1F7E398B">
      <w:pPr>
        <w:spacing w:line="560" w:lineRule="exact"/>
        <w:ind w:firstLine="674" w:firstLineChars="200"/>
        <w:rPr>
          <w:rFonts w:hint="eastAsia" w:ascii="仿宋_GB2312"/>
          <w:strike/>
          <w:color w:val="000000"/>
          <w:szCs w:val="32"/>
        </w:rPr>
      </w:pPr>
      <w:r>
        <w:rPr>
          <w:rFonts w:hint="eastAsia" w:ascii="仿宋_GB2312"/>
          <w:color w:val="000000"/>
          <w:szCs w:val="32"/>
        </w:rPr>
        <w:t>（一）使命定位清晰，研究方向明确，符合国家和福建经济、社会与科技发展战略目标。</w:t>
      </w:r>
    </w:p>
    <w:p w14:paraId="3AA7803F">
      <w:pPr>
        <w:adjustRightInd w:val="0"/>
        <w:snapToGrid w:val="0"/>
        <w:spacing w:line="560" w:lineRule="exact"/>
        <w:ind w:firstLine="674" w:firstLineChars="200"/>
        <w:rPr>
          <w:rFonts w:ascii="仿宋_GB2312"/>
          <w:color w:val="000000"/>
          <w:szCs w:val="32"/>
        </w:rPr>
      </w:pPr>
      <w:r>
        <w:rPr>
          <w:rFonts w:hint="eastAsia" w:ascii="仿宋_GB2312"/>
          <w:color w:val="000000"/>
          <w:szCs w:val="32"/>
        </w:rPr>
        <w:t>（二）已运行且对外开放2年以上，</w:t>
      </w:r>
      <w:r>
        <w:rPr>
          <w:rFonts w:hint="eastAsia" w:ascii="仿宋_GB2312" w:hAnsi="微软雅黑" w:cs="宋体"/>
          <w:color w:val="000000"/>
          <w:kern w:val="0"/>
          <w:szCs w:val="32"/>
        </w:rPr>
        <w:t>有良</w:t>
      </w:r>
      <w:r>
        <w:rPr>
          <w:rFonts w:hint="eastAsia" w:ascii="仿宋_GB2312"/>
          <w:color w:val="000000"/>
          <w:szCs w:val="32"/>
        </w:rPr>
        <w:t>好的</w:t>
      </w:r>
      <w:r>
        <w:rPr>
          <w:rFonts w:hint="eastAsia" w:ascii="仿宋_GB2312" w:hAnsi="微软雅黑" w:cs="宋体"/>
          <w:color w:val="000000"/>
          <w:kern w:val="0"/>
          <w:szCs w:val="32"/>
        </w:rPr>
        <w:t>科</w:t>
      </w:r>
      <w:r>
        <w:rPr>
          <w:rFonts w:hint="eastAsia" w:ascii="仿宋_GB2312"/>
          <w:color w:val="000000"/>
          <w:szCs w:val="32"/>
        </w:rPr>
        <w:t>研基础，</w:t>
      </w:r>
      <w:r>
        <w:rPr>
          <w:rFonts w:hint="eastAsia" w:ascii="仿宋_GB2312" w:hAnsi="微软雅黑" w:cs="宋体"/>
          <w:color w:val="000000"/>
          <w:kern w:val="0"/>
          <w:szCs w:val="32"/>
        </w:rPr>
        <w:t>能引领省内同类学科或行业发展，</w:t>
      </w:r>
      <w:r>
        <w:rPr>
          <w:rFonts w:hint="eastAsia" w:ascii="仿宋_GB2312"/>
          <w:color w:val="000000"/>
          <w:szCs w:val="32"/>
        </w:rPr>
        <w:t>具有承担国家或省级重大科研任务的能力</w:t>
      </w:r>
      <w:r>
        <w:rPr>
          <w:rFonts w:hint="eastAsia" w:ascii="仿宋_GB2312"/>
          <w:color w:val="000000"/>
          <w:szCs w:val="32"/>
          <w:lang w:eastAsia="zh-CN"/>
        </w:rPr>
        <w:t>。</w:t>
      </w:r>
      <w:r>
        <w:rPr>
          <w:rFonts w:hint="eastAsia" w:ascii="仿宋_GB2312"/>
          <w:color w:val="000000"/>
          <w:szCs w:val="32"/>
        </w:rPr>
        <w:t>固定人员近三年内主持国家、省</w:t>
      </w:r>
      <w:bookmarkStart w:id="2" w:name="_Hlk177979222"/>
      <w:r>
        <w:rPr>
          <w:rFonts w:hint="eastAsia" w:ascii="仿宋_GB2312"/>
          <w:color w:val="000000"/>
          <w:szCs w:val="32"/>
        </w:rPr>
        <w:t>部级科技计划项目</w:t>
      </w:r>
      <w:bookmarkEnd w:id="2"/>
      <w:r>
        <w:rPr>
          <w:rFonts w:hint="eastAsia" w:ascii="仿宋_GB2312"/>
          <w:color w:val="000000"/>
          <w:szCs w:val="32"/>
        </w:rPr>
        <w:t>10项以上（依托单位为企业的主持</w:t>
      </w:r>
      <w:r>
        <w:rPr>
          <w:rFonts w:hint="eastAsia" w:ascii="仿宋_GB2312"/>
          <w:color w:val="000000"/>
          <w:szCs w:val="32"/>
          <w:lang w:val="en-US" w:eastAsia="zh-CN"/>
        </w:rPr>
        <w:t>3</w:t>
      </w:r>
      <w:r>
        <w:rPr>
          <w:rFonts w:hint="eastAsia" w:ascii="仿宋_GB2312"/>
          <w:color w:val="000000"/>
          <w:szCs w:val="32"/>
        </w:rPr>
        <w:t>项以上），且近三年内同时满足以下条件2项（含）以上：</w:t>
      </w:r>
      <w:r>
        <w:rPr>
          <w:rFonts w:ascii="仿宋_GB2312"/>
          <w:color w:val="000000"/>
          <w:szCs w:val="32"/>
        </w:rPr>
        <w:t xml:space="preserve"> </w:t>
      </w:r>
    </w:p>
    <w:p w14:paraId="2F6E8A2E">
      <w:pPr>
        <w:spacing w:line="560" w:lineRule="exact"/>
        <w:ind w:firstLine="674" w:firstLineChars="200"/>
        <w:rPr>
          <w:rFonts w:ascii="仿宋_GB2312"/>
          <w:color w:val="000000"/>
          <w:szCs w:val="32"/>
          <w:shd w:val="pct10" w:color="auto" w:fill="FFFFFF"/>
        </w:rPr>
      </w:pPr>
      <w:r>
        <w:rPr>
          <w:rFonts w:hint="eastAsia" w:ascii="仿宋_GB2312"/>
          <w:color w:val="000000"/>
          <w:szCs w:val="32"/>
          <w:lang w:val="en-US" w:eastAsia="zh-CN"/>
        </w:rPr>
        <w:t>1</w:t>
      </w:r>
      <w:r>
        <w:rPr>
          <w:rFonts w:hint="eastAsia" w:ascii="仿宋_GB2312"/>
          <w:color w:val="000000"/>
          <w:szCs w:val="32"/>
        </w:rPr>
        <w:t>.主持制定国家标准、省级地方标准或行业标准1项以上；</w:t>
      </w:r>
    </w:p>
    <w:p w14:paraId="5C9C21DF">
      <w:pPr>
        <w:spacing w:line="560" w:lineRule="exact"/>
        <w:ind w:firstLine="674" w:firstLineChars="200"/>
        <w:rPr>
          <w:rFonts w:ascii="仿宋_GB2312"/>
          <w:color w:val="000000"/>
          <w:szCs w:val="32"/>
          <w:shd w:val="pct10" w:color="auto" w:fill="FFFFFF"/>
        </w:rPr>
      </w:pPr>
      <w:r>
        <w:rPr>
          <w:rFonts w:hint="eastAsia" w:ascii="仿宋_GB2312"/>
          <w:color w:val="000000"/>
          <w:szCs w:val="32"/>
          <w:lang w:val="en-US" w:eastAsia="zh-CN"/>
        </w:rPr>
        <w:t>2</w:t>
      </w:r>
      <w:r>
        <w:rPr>
          <w:rFonts w:hint="eastAsia" w:ascii="仿宋_GB2312"/>
          <w:color w:val="000000"/>
          <w:szCs w:val="32"/>
        </w:rPr>
        <w:t>.拥有省部级以上获奖成果1项以上（固定人员为排名前三的完成人）；</w:t>
      </w:r>
    </w:p>
    <w:p w14:paraId="1B68F71A">
      <w:pPr>
        <w:spacing w:line="560" w:lineRule="exact"/>
        <w:ind w:firstLine="674" w:firstLineChars="200"/>
        <w:rPr>
          <w:rFonts w:ascii="仿宋_GB2312"/>
          <w:color w:val="000000"/>
          <w:szCs w:val="32"/>
        </w:rPr>
      </w:pPr>
      <w:r>
        <w:rPr>
          <w:rFonts w:hint="eastAsia" w:ascii="仿宋_GB2312"/>
          <w:color w:val="000000"/>
          <w:szCs w:val="32"/>
          <w:lang w:val="en-US" w:eastAsia="zh-CN"/>
        </w:rPr>
        <w:t>3</w:t>
      </w:r>
      <w:r>
        <w:rPr>
          <w:rFonts w:hint="eastAsia" w:ascii="仿宋_GB2312"/>
          <w:color w:val="000000"/>
          <w:szCs w:val="32"/>
        </w:rPr>
        <w:t>.拥有授权发明专利5项以上（固定人员为第一发明人）；</w:t>
      </w:r>
    </w:p>
    <w:p w14:paraId="73B5EA2E">
      <w:pPr>
        <w:spacing w:line="560" w:lineRule="exact"/>
        <w:ind w:firstLine="674" w:firstLineChars="200"/>
        <w:rPr>
          <w:rFonts w:ascii="仿宋_GB2312"/>
          <w:color w:val="000000"/>
          <w:szCs w:val="32"/>
        </w:rPr>
      </w:pPr>
      <w:r>
        <w:rPr>
          <w:rFonts w:hint="eastAsia" w:ascii="仿宋_GB2312"/>
          <w:color w:val="000000"/>
          <w:szCs w:val="32"/>
          <w:lang w:val="en-US" w:eastAsia="zh-CN"/>
        </w:rPr>
        <w:t>4</w:t>
      </w:r>
      <w:r>
        <w:rPr>
          <w:rFonts w:hint="eastAsia" w:ascii="仿宋_GB2312"/>
          <w:color w:val="000000"/>
          <w:szCs w:val="32"/>
        </w:rPr>
        <w:t>.经认定登记的技术转让、技术许可合同3项以上，技术合同成交额总计150万元以上。</w:t>
      </w:r>
    </w:p>
    <w:p w14:paraId="2DADFA25">
      <w:pPr>
        <w:spacing w:line="560" w:lineRule="exact"/>
        <w:ind w:firstLine="674" w:firstLineChars="200"/>
        <w:rPr>
          <w:rFonts w:hint="eastAsia" w:ascii="仿宋_GB2312"/>
          <w:color w:val="000000"/>
          <w:szCs w:val="32"/>
          <w:shd w:val="pct10" w:color="auto" w:fill="FFFFFF"/>
        </w:rPr>
      </w:pPr>
      <w:r>
        <w:rPr>
          <w:rFonts w:hint="eastAsia" w:ascii="仿宋_GB2312"/>
          <w:color w:val="000000"/>
          <w:szCs w:val="32"/>
        </w:rPr>
        <w:t>（三）</w:t>
      </w:r>
      <w:r>
        <w:rPr>
          <w:rFonts w:hint="eastAsia" w:ascii="仿宋_GB2312" w:hAnsi="微软雅黑" w:cs="宋体"/>
          <w:color w:val="000000"/>
          <w:kern w:val="0"/>
          <w:szCs w:val="32"/>
        </w:rPr>
        <w:t>拥</w:t>
      </w:r>
      <w:r>
        <w:rPr>
          <w:rFonts w:hint="eastAsia" w:ascii="仿宋_GB2312"/>
          <w:color w:val="000000"/>
          <w:szCs w:val="32"/>
        </w:rPr>
        <w:t>有高水平的学科带头人，科研队伍年龄结构与知识结构合理。固定人员中研究人员总数</w:t>
      </w:r>
      <w:r>
        <w:rPr>
          <w:rFonts w:hint="eastAsia" w:ascii="仿宋_GB2312" w:hAnsi="微软雅黑" w:cs="宋体"/>
          <w:color w:val="000000"/>
          <w:kern w:val="0"/>
          <w:szCs w:val="32"/>
        </w:rPr>
        <w:t>不少于</w:t>
      </w:r>
      <w:r>
        <w:rPr>
          <w:rFonts w:hint="eastAsia" w:ascii="仿宋_GB2312"/>
          <w:color w:val="000000"/>
          <w:szCs w:val="32"/>
        </w:rPr>
        <w:t>20人</w:t>
      </w:r>
      <w:r>
        <w:rPr>
          <w:rFonts w:hint="eastAsia" w:ascii="仿宋_GB2312" w:hAnsi="微软雅黑" w:cs="宋体"/>
          <w:color w:val="000000"/>
          <w:kern w:val="0"/>
          <w:szCs w:val="32"/>
        </w:rPr>
        <w:t>，其中高级职称或具有博士研究生学历人员比例不低于60%（依托单位为企业的不低于25%）。</w:t>
      </w:r>
    </w:p>
    <w:p w14:paraId="7C386AF6">
      <w:pPr>
        <w:spacing w:line="560" w:lineRule="exact"/>
        <w:ind w:firstLine="674" w:firstLineChars="200"/>
        <w:rPr>
          <w:rFonts w:hint="eastAsia" w:ascii="仿宋_GB2312"/>
          <w:color w:val="000000"/>
          <w:szCs w:val="32"/>
        </w:rPr>
      </w:pPr>
      <w:r>
        <w:rPr>
          <w:rFonts w:hint="eastAsia" w:ascii="仿宋_GB2312"/>
          <w:color w:val="000000"/>
          <w:szCs w:val="32"/>
        </w:rPr>
        <w:t>（四）科研实验条件良好、物理空间相对集中，科研用房面积在1000平方米以上，拥有科研仪器设备（含软件开发工具）原值在1000万元以上。</w:t>
      </w:r>
    </w:p>
    <w:p w14:paraId="0D34D1FD">
      <w:pPr>
        <w:adjustRightInd w:val="0"/>
        <w:snapToGrid w:val="0"/>
        <w:spacing w:line="560" w:lineRule="exact"/>
        <w:ind w:firstLine="674" w:firstLineChars="200"/>
        <w:rPr>
          <w:rFonts w:ascii="仿宋_GB2312"/>
          <w:color w:val="000000"/>
          <w:szCs w:val="32"/>
        </w:rPr>
      </w:pPr>
      <w:r>
        <w:rPr>
          <w:rFonts w:hint="eastAsia" w:ascii="仿宋_GB2312"/>
          <w:color w:val="000000"/>
          <w:szCs w:val="32"/>
        </w:rPr>
        <w:t>（五）依托单位及其业务主管部门近三年连续投入建设与运行经费累计不少于1000万元。依托单位为企业的，近三年年均主营收入3亿元以上、研发费用占同期营业收入比重不低于5%或研发费用不低于2000万元。</w:t>
      </w:r>
    </w:p>
    <w:p w14:paraId="1834C130">
      <w:pPr>
        <w:spacing w:line="560" w:lineRule="exact"/>
        <w:ind w:firstLine="674" w:firstLineChars="200"/>
        <w:rPr>
          <w:rFonts w:hint="eastAsia" w:ascii="仿宋_GB2312"/>
          <w:color w:val="000000"/>
          <w:szCs w:val="32"/>
        </w:rPr>
      </w:pPr>
      <w:r>
        <w:rPr>
          <w:rFonts w:hint="eastAsia" w:ascii="仿宋_GB2312"/>
          <w:color w:val="000000"/>
          <w:szCs w:val="32"/>
        </w:rPr>
        <w:t>（六）</w:t>
      </w:r>
      <w:bookmarkStart w:id="3" w:name="_Hlk184809801"/>
      <w:r>
        <w:rPr>
          <w:rFonts w:hint="eastAsia" w:ascii="仿宋_GB2312"/>
          <w:color w:val="000000"/>
          <w:szCs w:val="32"/>
        </w:rPr>
        <w:t>依托单位</w:t>
      </w:r>
      <w:bookmarkEnd w:id="3"/>
      <w:r>
        <w:rPr>
          <w:rFonts w:hint="eastAsia" w:ascii="仿宋_GB2312"/>
          <w:color w:val="000000"/>
          <w:szCs w:val="32"/>
        </w:rPr>
        <w:t>和个人诚信状况良好，无在惩戒执行期内的科研严重失信行为记录、失信被执行个人记录，以及生物安全、生产安全、保密等违法违规记录。</w:t>
      </w:r>
    </w:p>
    <w:p w14:paraId="6DC30F93">
      <w:pPr>
        <w:spacing w:line="560" w:lineRule="exact"/>
        <w:ind w:firstLine="674" w:firstLineChars="200"/>
        <w:rPr>
          <w:rFonts w:hint="eastAsia"/>
          <w:color w:val="000000"/>
          <w:shd w:val="pct10" w:color="auto" w:fill="FFFFFF"/>
        </w:rPr>
      </w:pPr>
      <w:r>
        <w:rPr>
          <w:rFonts w:hint="eastAsia" w:ascii="仿宋_GB2312"/>
          <w:color w:val="000000"/>
          <w:szCs w:val="32"/>
          <w:lang w:eastAsia="zh-CN"/>
        </w:rPr>
        <w:t>（七）</w:t>
      </w:r>
      <w:r>
        <w:rPr>
          <w:rFonts w:hint="eastAsia" w:ascii="仿宋_GB2312"/>
          <w:color w:val="000000"/>
          <w:szCs w:val="32"/>
        </w:rPr>
        <w:t>省重点实验室主要科研实验条件、固定人员及相关成果不得与其他省重点实验室重复。</w:t>
      </w:r>
    </w:p>
    <w:p w14:paraId="590CFA4F">
      <w:pPr>
        <w:adjustRightInd w:val="0"/>
        <w:snapToGrid w:val="0"/>
        <w:spacing w:line="560" w:lineRule="exact"/>
        <w:ind w:firstLine="674" w:firstLineChars="200"/>
        <w:rPr>
          <w:rFonts w:hint="eastAsia"/>
          <w:color w:val="000000"/>
        </w:rPr>
      </w:pPr>
      <w:r>
        <w:rPr>
          <w:rFonts w:hint="eastAsia" w:ascii="仿宋_GB2312"/>
          <w:color w:val="000000"/>
          <w:szCs w:val="32"/>
        </w:rPr>
        <w:t>第十四条 省重点实验室依托单位不超过2家，联合共建的省重点实验室第一依托单位应满足第十三条规定的基本条件，且双方需具有良好的共建基础，签订长期合作共建协议，明确双方权利、职责和任务。</w:t>
      </w:r>
    </w:p>
    <w:p w14:paraId="0E2541BC">
      <w:pPr>
        <w:spacing w:line="560" w:lineRule="exact"/>
        <w:ind w:firstLine="630"/>
        <w:rPr>
          <w:rFonts w:hint="eastAsia" w:ascii="仿宋_GB2312"/>
          <w:color w:val="000000"/>
          <w:szCs w:val="32"/>
        </w:rPr>
      </w:pPr>
      <w:r>
        <w:rPr>
          <w:rFonts w:hint="eastAsia" w:ascii="仿宋_GB2312"/>
          <w:color w:val="000000"/>
          <w:szCs w:val="32"/>
        </w:rPr>
        <w:t>第十五条 省重点实验室认定程序：</w:t>
      </w:r>
    </w:p>
    <w:p w14:paraId="282DC9EF">
      <w:pPr>
        <w:adjustRightInd w:val="0"/>
        <w:snapToGrid w:val="0"/>
        <w:spacing w:line="560" w:lineRule="exact"/>
        <w:ind w:firstLine="629"/>
        <w:rPr>
          <w:rFonts w:ascii="仿宋_GB2312"/>
          <w:color w:val="000000"/>
          <w:szCs w:val="32"/>
        </w:rPr>
      </w:pPr>
      <w:r>
        <w:rPr>
          <w:rFonts w:hint="eastAsia" w:ascii="仿宋_GB2312"/>
          <w:color w:val="000000"/>
          <w:szCs w:val="32"/>
        </w:rPr>
        <w:t>（一）省科技厅发布申报通知，明确申报要求。</w:t>
      </w:r>
    </w:p>
    <w:p w14:paraId="1170BF0A">
      <w:pPr>
        <w:spacing w:line="560" w:lineRule="exact"/>
        <w:ind w:firstLine="630"/>
        <w:rPr>
          <w:rFonts w:hint="eastAsia" w:ascii="仿宋_GB2312"/>
          <w:color w:val="000000"/>
          <w:szCs w:val="32"/>
        </w:rPr>
      </w:pPr>
      <w:r>
        <w:rPr>
          <w:rFonts w:hint="eastAsia" w:ascii="仿宋_GB2312"/>
          <w:color w:val="000000"/>
          <w:szCs w:val="32"/>
        </w:rPr>
        <w:t>（二）</w:t>
      </w:r>
      <w:r>
        <w:rPr>
          <w:rFonts w:hint="eastAsia" w:ascii="仿宋_GB2312" w:hAnsi="宋体"/>
          <w:color w:val="000000"/>
          <w:szCs w:val="32"/>
        </w:rPr>
        <w:t>业务主管部</w:t>
      </w:r>
      <w:r>
        <w:rPr>
          <w:rFonts w:hint="eastAsia" w:ascii="仿宋_GB2312"/>
          <w:color w:val="000000"/>
          <w:szCs w:val="32"/>
        </w:rPr>
        <w:t>门按照申报通知要求，组织符合申报条件的单位填写提交《福建省重点实验室建设申请书》及有关附件材料，审核并予以推荐。</w:t>
      </w:r>
    </w:p>
    <w:p w14:paraId="2198F2AD">
      <w:pPr>
        <w:spacing w:line="560" w:lineRule="exact"/>
        <w:ind w:firstLine="674" w:firstLineChars="200"/>
        <w:rPr>
          <w:rFonts w:hint="eastAsia" w:ascii="仿宋_GB2312"/>
          <w:color w:val="000000"/>
          <w:szCs w:val="32"/>
        </w:rPr>
      </w:pPr>
      <w:r>
        <w:rPr>
          <w:rFonts w:hint="eastAsia" w:ascii="仿宋_GB2312"/>
          <w:color w:val="000000"/>
          <w:szCs w:val="32"/>
        </w:rPr>
        <w:t>（三）省科技厅对申报材料进行形式审查，组织或委托有关机构开展评审，并</w:t>
      </w:r>
      <w:r>
        <w:rPr>
          <w:rFonts w:ascii="仿宋_GB2312"/>
          <w:color w:val="000000"/>
          <w:szCs w:val="32"/>
        </w:rPr>
        <w:t>根据</w:t>
      </w:r>
      <w:r>
        <w:rPr>
          <w:rFonts w:hint="eastAsia" w:ascii="仿宋_GB2312"/>
          <w:color w:val="000000"/>
          <w:szCs w:val="32"/>
        </w:rPr>
        <w:t>评审</w:t>
      </w:r>
      <w:r>
        <w:rPr>
          <w:rFonts w:ascii="仿宋_GB2312"/>
          <w:color w:val="000000"/>
          <w:szCs w:val="32"/>
        </w:rPr>
        <w:t>意见</w:t>
      </w:r>
      <w:r>
        <w:rPr>
          <w:rFonts w:hint="eastAsia" w:ascii="仿宋_GB2312"/>
          <w:color w:val="000000"/>
          <w:szCs w:val="32"/>
        </w:rPr>
        <w:t>择优进行</w:t>
      </w:r>
      <w:r>
        <w:rPr>
          <w:rFonts w:ascii="仿宋_GB2312"/>
          <w:color w:val="000000"/>
          <w:szCs w:val="32"/>
        </w:rPr>
        <w:t>认定。</w:t>
      </w:r>
    </w:p>
    <w:p w14:paraId="605A6309">
      <w:pPr>
        <w:spacing w:line="560" w:lineRule="exact"/>
        <w:ind w:firstLine="630"/>
        <w:rPr>
          <w:rFonts w:hint="eastAsia" w:ascii="仿宋_GB2312"/>
          <w:color w:val="000000"/>
          <w:szCs w:val="32"/>
        </w:rPr>
      </w:pPr>
      <w:r>
        <w:rPr>
          <w:rFonts w:hint="eastAsia" w:ascii="仿宋_GB2312"/>
          <w:color w:val="000000"/>
          <w:szCs w:val="32"/>
        </w:rPr>
        <w:t>（四）通过认定建设的省重点实验室按要求与省科技厅签订《福建省重点实验室建设任务书》。</w:t>
      </w:r>
    </w:p>
    <w:p w14:paraId="0B69EA41">
      <w:pPr>
        <w:spacing w:line="560" w:lineRule="exact"/>
        <w:ind w:firstLine="674" w:firstLineChars="200"/>
        <w:rPr>
          <w:rFonts w:hint="eastAsia" w:ascii="仿宋_GB2312"/>
          <w:color w:val="000000"/>
          <w:szCs w:val="32"/>
        </w:rPr>
      </w:pPr>
      <w:r>
        <w:rPr>
          <w:rFonts w:hint="eastAsia" w:ascii="仿宋_GB2312"/>
          <w:color w:val="000000"/>
          <w:szCs w:val="32"/>
        </w:rPr>
        <w:t>第十六条 省</w:t>
      </w:r>
      <w:r>
        <w:rPr>
          <w:rFonts w:ascii="仿宋_GB2312"/>
          <w:color w:val="000000"/>
          <w:szCs w:val="32"/>
        </w:rPr>
        <w:t>重点实验室建设期为</w:t>
      </w:r>
      <w:r>
        <w:rPr>
          <w:rFonts w:hint="eastAsia" w:ascii="仿宋_GB2312"/>
          <w:color w:val="000000"/>
          <w:szCs w:val="32"/>
        </w:rPr>
        <w:t>2</w:t>
      </w:r>
      <w:r>
        <w:rPr>
          <w:rFonts w:ascii="仿宋_GB2312"/>
          <w:color w:val="000000"/>
          <w:szCs w:val="32"/>
        </w:rPr>
        <w:t>年。</w:t>
      </w:r>
      <w:r>
        <w:rPr>
          <w:rFonts w:hint="eastAsia" w:ascii="仿宋_GB2312"/>
          <w:color w:val="000000"/>
          <w:szCs w:val="32"/>
        </w:rPr>
        <w:t>建设期满后，由省科技厅组织或委托有关机构开展验收。验收合格的，列入省重点实验室序列，进入运行期。未通过验收、不参加或中途退出验收的，不列入省重点实验室序列。</w:t>
      </w:r>
    </w:p>
    <w:p w14:paraId="2575ED67">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 xml:space="preserve">第四章 </w:t>
      </w:r>
      <w:r>
        <w:rPr>
          <w:rFonts w:ascii="黑体" w:hAnsi="黑体" w:eastAsia="黑体"/>
          <w:color w:val="000000"/>
          <w:szCs w:val="32"/>
        </w:rPr>
        <w:t>运行</w:t>
      </w:r>
      <w:r>
        <w:rPr>
          <w:rFonts w:hint="eastAsia" w:ascii="黑体" w:hAnsi="黑体" w:eastAsia="黑体"/>
          <w:color w:val="000000"/>
          <w:szCs w:val="32"/>
        </w:rPr>
        <w:t>与管理</w:t>
      </w:r>
    </w:p>
    <w:p w14:paraId="4152CDF2">
      <w:pPr>
        <w:spacing w:line="560" w:lineRule="exact"/>
        <w:ind w:firstLine="674" w:firstLineChars="200"/>
        <w:rPr>
          <w:rFonts w:hint="eastAsia" w:ascii="宋体" w:hAnsi="宋体"/>
          <w:color w:val="000000"/>
          <w:szCs w:val="32"/>
        </w:rPr>
      </w:pPr>
      <w:r>
        <w:rPr>
          <w:rFonts w:hint="eastAsia" w:ascii="宋体" w:hAnsi="宋体"/>
          <w:color w:val="000000"/>
          <w:szCs w:val="32"/>
        </w:rPr>
        <w:t>第十</w:t>
      </w:r>
      <w:r>
        <w:rPr>
          <w:rFonts w:hint="eastAsia" w:ascii="仿宋_GB2312"/>
          <w:color w:val="000000"/>
          <w:szCs w:val="32"/>
        </w:rPr>
        <w:t>七</w:t>
      </w:r>
      <w:r>
        <w:rPr>
          <w:rFonts w:hint="eastAsia" w:ascii="宋体" w:hAnsi="宋体"/>
          <w:color w:val="000000"/>
          <w:szCs w:val="32"/>
        </w:rPr>
        <w:t>条 省重点实验室应加强党的建设，坚持政治引领，压实党建责任，加强党组织和党员队伍建设，强化党风廉政建设，为推动省重点实验室建设发展提供坚强的思想、政治、组织保障。</w:t>
      </w:r>
    </w:p>
    <w:p w14:paraId="44CCBD24">
      <w:pPr>
        <w:spacing w:line="560" w:lineRule="exact"/>
        <w:ind w:firstLine="674" w:firstLineChars="200"/>
        <w:rPr>
          <w:rFonts w:hint="eastAsia" w:ascii="宋体" w:hAnsi="宋体"/>
          <w:color w:val="000000"/>
          <w:szCs w:val="32"/>
        </w:rPr>
      </w:pPr>
      <w:r>
        <w:rPr>
          <w:rFonts w:hint="eastAsia" w:ascii="宋体" w:hAnsi="宋体"/>
          <w:color w:val="000000"/>
          <w:szCs w:val="32"/>
        </w:rPr>
        <w:t>第十八条 省重点实验室应建立健全协同攻关机制，强化实体化建设，建立有序高效的科研组织架构。</w:t>
      </w:r>
    </w:p>
    <w:p w14:paraId="025A9D8C">
      <w:pPr>
        <w:spacing w:line="560" w:lineRule="exact"/>
        <w:ind w:firstLine="674" w:firstLineChars="200"/>
        <w:rPr>
          <w:rFonts w:hint="eastAsia" w:ascii="宋体" w:hAnsi="宋体"/>
          <w:color w:val="000000"/>
          <w:szCs w:val="32"/>
        </w:rPr>
      </w:pPr>
      <w:r>
        <w:rPr>
          <w:rFonts w:hint="eastAsia" w:ascii="宋体" w:hAnsi="宋体"/>
          <w:color w:val="000000"/>
          <w:szCs w:val="32"/>
        </w:rPr>
        <w:t>第十</w:t>
      </w:r>
      <w:r>
        <w:rPr>
          <w:rFonts w:hint="eastAsia" w:ascii="仿宋_GB2312"/>
          <w:color w:val="000000"/>
          <w:szCs w:val="32"/>
        </w:rPr>
        <w:t>九</w:t>
      </w:r>
      <w:r>
        <w:rPr>
          <w:rFonts w:hint="eastAsia" w:ascii="宋体" w:hAnsi="宋体"/>
          <w:color w:val="000000"/>
          <w:szCs w:val="32"/>
        </w:rPr>
        <w:t xml:space="preserve">条 </w:t>
      </w:r>
      <w:r>
        <w:rPr>
          <w:rFonts w:hint="eastAsia" w:ascii="仿宋_GB2312" w:hAnsi="宋体"/>
          <w:color w:val="000000"/>
          <w:szCs w:val="32"/>
        </w:rPr>
        <w:t>省重点实验室实行依托单位领导下的主任负责制。实验室主任主要</w:t>
      </w:r>
      <w:r>
        <w:rPr>
          <w:rFonts w:hint="eastAsia" w:ascii="宋体" w:hAnsi="宋体"/>
          <w:color w:val="000000"/>
          <w:szCs w:val="32"/>
        </w:rPr>
        <w:t>负责省重点实验室建设发展和管理、组织开展重大科研任务攻关、技术路线选择等工作，依托单位应赋予其科研组织、资源配置、团队建设等自主权。</w:t>
      </w:r>
    </w:p>
    <w:p w14:paraId="5C742DC8">
      <w:pPr>
        <w:adjustRightInd w:val="0"/>
        <w:snapToGrid w:val="0"/>
        <w:spacing w:line="560" w:lineRule="exact"/>
        <w:ind w:firstLine="674" w:firstLineChars="200"/>
        <w:rPr>
          <w:rFonts w:ascii="仿宋_GB2312" w:hAnsi="宋体"/>
          <w:color w:val="000000"/>
          <w:szCs w:val="32"/>
        </w:rPr>
      </w:pPr>
      <w:r>
        <w:rPr>
          <w:rFonts w:hint="eastAsia" w:ascii="仿宋_GB2312" w:hAnsi="宋体"/>
          <w:color w:val="000000"/>
          <w:szCs w:val="32"/>
        </w:rPr>
        <w:t>第二十条 省重点实验室主任应由政治素质好、具有领导和管理能力、德才兼备、年富力强的高水平学术或技术带头人担任。任职年龄原则上不超过法定退休年龄。每届任期5年，累计任职不超过2届</w:t>
      </w:r>
      <w:r>
        <w:rPr>
          <w:rFonts w:hint="eastAsia"/>
          <w:color w:val="000000"/>
        </w:rPr>
        <w:t>，全职全时在省重点实验室工作。</w:t>
      </w:r>
    </w:p>
    <w:p w14:paraId="43EA9496">
      <w:pPr>
        <w:pStyle w:val="2"/>
        <w:adjustRightInd w:val="0"/>
        <w:snapToGrid w:val="0"/>
        <w:spacing w:after="0" w:line="560" w:lineRule="exact"/>
        <w:ind w:firstLine="674" w:firstLineChars="200"/>
        <w:rPr>
          <w:rFonts w:hint="eastAsia" w:ascii="仿宋_GB2312"/>
          <w:color w:val="000000"/>
          <w:szCs w:val="32"/>
          <w:shd w:val="pct10" w:color="auto" w:fill="FFFFFF"/>
        </w:rPr>
      </w:pPr>
      <w:r>
        <w:rPr>
          <w:rFonts w:hint="eastAsia" w:ascii="仿宋_GB2312" w:hAnsi="宋体"/>
          <w:color w:val="000000"/>
          <w:szCs w:val="32"/>
        </w:rPr>
        <w:t>第二十一条 省重点实验室主任聘任、调整由依托单位提</w:t>
      </w:r>
      <w:r>
        <w:rPr>
          <w:rFonts w:hint="eastAsia" w:ascii="仿宋_GB2312"/>
          <w:color w:val="000000"/>
          <w:szCs w:val="32"/>
        </w:rPr>
        <w:t>出申</w:t>
      </w:r>
      <w:r>
        <w:rPr>
          <w:rFonts w:hint="eastAsia" w:ascii="仿宋_GB2312" w:hAnsi="宋体"/>
          <w:color w:val="000000"/>
          <w:szCs w:val="32"/>
        </w:rPr>
        <w:t>请，经业务主管部门审核同意后由依托单位聘任，并报省科技厅备案。对未按要求履职的省重点实验室主任，依托单位应及时调整。</w:t>
      </w:r>
    </w:p>
    <w:p w14:paraId="296F9466">
      <w:pPr>
        <w:adjustRightInd w:val="0"/>
        <w:snapToGrid w:val="0"/>
        <w:spacing w:line="560" w:lineRule="exact"/>
        <w:ind w:firstLine="674" w:firstLineChars="200"/>
        <w:rPr>
          <w:rFonts w:ascii="仿宋_GB2312" w:hAnsi="宋体"/>
          <w:color w:val="000000"/>
          <w:szCs w:val="32"/>
        </w:rPr>
      </w:pPr>
      <w:r>
        <w:rPr>
          <w:rFonts w:hint="eastAsia" w:ascii="仿宋_GB2312"/>
          <w:color w:val="000000"/>
          <w:szCs w:val="32"/>
        </w:rPr>
        <w:t>第二十二条</w:t>
      </w:r>
      <w:r>
        <w:rPr>
          <w:rFonts w:hint="eastAsia" w:ascii="仿宋_GB2312" w:hAnsi="宋体"/>
          <w:color w:val="000000"/>
          <w:szCs w:val="32"/>
        </w:rPr>
        <w:t xml:space="preserve"> 省重点实验室设立学术委员会作为学术指导机构，负责审议省重点实验室的发展目标、研究方向、重大学术活动、年度</w:t>
      </w:r>
      <w:r>
        <w:rPr>
          <w:rFonts w:hint="eastAsia" w:ascii="仿宋_GB2312"/>
          <w:color w:val="000000"/>
          <w:szCs w:val="32"/>
        </w:rPr>
        <w:t>工作计划和开放课题等事项。学术委员会会议每年至少召开一次，并形成会议纪要，每次实到人数不少于总人数的三分之二</w:t>
      </w:r>
      <w:r>
        <w:rPr>
          <w:rFonts w:hint="eastAsia" w:ascii="仿宋_GB2312" w:hAnsi="宋体"/>
          <w:color w:val="000000"/>
          <w:szCs w:val="32"/>
        </w:rPr>
        <w:t>，缺席学术委员会会议2次以上的应予以更换。</w:t>
      </w:r>
    </w:p>
    <w:p w14:paraId="4CC7FB9D">
      <w:pPr>
        <w:numPr>
          <w:ilvl w:val="0"/>
          <w:numId w:val="1"/>
        </w:numPr>
        <w:spacing w:line="560" w:lineRule="exact"/>
        <w:ind w:firstLine="674" w:firstLineChars="200"/>
        <w:rPr>
          <w:rFonts w:hint="eastAsia" w:ascii="仿宋_GB2312" w:hAnsi="宋体"/>
          <w:color w:val="000000"/>
          <w:szCs w:val="32"/>
        </w:rPr>
      </w:pPr>
      <w:r>
        <w:rPr>
          <w:rFonts w:hint="eastAsia" w:ascii="仿宋_GB2312"/>
          <w:color w:val="000000"/>
          <w:szCs w:val="32"/>
        </w:rPr>
        <w:t>学术委员会由</w:t>
      </w:r>
      <w:r>
        <w:rPr>
          <w:rFonts w:hint="eastAsia" w:ascii="仿宋_GB2312" w:hAnsi="宋体"/>
          <w:color w:val="000000"/>
          <w:szCs w:val="32"/>
        </w:rPr>
        <w:t>国内外同领域的优秀专家组成，人数为7人以上单数，其中依托单位委员数不超过总人数的三分之一。一位委员不能同时担任3个以上省重点实验室学术委员会委员。鼓励聘任中青年委员。</w:t>
      </w:r>
    </w:p>
    <w:p w14:paraId="397622B8">
      <w:pPr>
        <w:spacing w:line="560" w:lineRule="exact"/>
        <w:ind w:firstLine="674" w:firstLineChars="200"/>
        <w:rPr>
          <w:rFonts w:hint="eastAsia" w:ascii="仿宋_GB2312" w:hAnsi="宋体"/>
          <w:color w:val="000000"/>
          <w:szCs w:val="32"/>
        </w:rPr>
      </w:pPr>
      <w:r>
        <w:rPr>
          <w:rFonts w:hint="eastAsia" w:ascii="仿宋_GB2312" w:hAnsi="宋体"/>
          <w:color w:val="000000"/>
          <w:szCs w:val="32"/>
        </w:rPr>
        <w:t>（二）学术委员会设主任委员1名，主任委员</w:t>
      </w:r>
      <w:r>
        <w:rPr>
          <w:rFonts w:hint="eastAsia" w:ascii="仿宋_GB2312"/>
          <w:color w:val="000000"/>
          <w:szCs w:val="32"/>
        </w:rPr>
        <w:t>由非依托单位人员担任，连任不超过</w:t>
      </w:r>
      <w:r>
        <w:rPr>
          <w:rFonts w:hint="eastAsia" w:ascii="仿宋_GB2312" w:hAnsi="宋体"/>
          <w:color w:val="000000"/>
          <w:szCs w:val="32"/>
        </w:rPr>
        <w:t>2</w:t>
      </w:r>
      <w:r>
        <w:rPr>
          <w:rFonts w:hint="eastAsia" w:ascii="仿宋_GB2312"/>
          <w:color w:val="000000"/>
          <w:szCs w:val="32"/>
        </w:rPr>
        <w:t>届。</w:t>
      </w:r>
    </w:p>
    <w:p w14:paraId="7EFA12C2">
      <w:pPr>
        <w:adjustRightInd w:val="0"/>
        <w:snapToGrid w:val="0"/>
        <w:spacing w:line="560" w:lineRule="exact"/>
        <w:ind w:firstLine="674" w:firstLineChars="200"/>
        <w:rPr>
          <w:rFonts w:hint="eastAsia" w:ascii="仿宋_GB2312" w:hAnsi="宋体"/>
          <w:color w:val="000000"/>
          <w:szCs w:val="32"/>
        </w:rPr>
      </w:pPr>
      <w:r>
        <w:rPr>
          <w:rFonts w:hint="eastAsia" w:ascii="仿宋_GB2312" w:hAnsi="宋体"/>
          <w:color w:val="000000"/>
          <w:szCs w:val="32"/>
        </w:rPr>
        <w:t>（三） 学术委员会委员每届任期5年，连任不超过2届，每次换届应更换三分之一以上的委员。学术委员会委员由依托单位聘任、调整，业务主管部门审核同意后报送省科技厅备案。</w:t>
      </w:r>
    </w:p>
    <w:p w14:paraId="5D3C9892">
      <w:pPr>
        <w:spacing w:line="560" w:lineRule="exact"/>
        <w:ind w:firstLine="674" w:firstLineChars="200"/>
        <w:rPr>
          <w:rFonts w:hint="eastAsia" w:ascii="仿宋_GB2312"/>
          <w:color w:val="000000"/>
          <w:szCs w:val="32"/>
        </w:rPr>
      </w:pPr>
      <w:r>
        <w:rPr>
          <w:rFonts w:hint="eastAsia" w:ascii="仿宋_GB2312"/>
          <w:color w:val="000000"/>
          <w:szCs w:val="32"/>
        </w:rPr>
        <w:t>第二十三条 省重点实验室由固定人员和流动人员组成。固定人员的人事关系应隶属依托单位，包括研究人员、实验技术人员和管理人员；流动人员包括访问学者、博士后研究人员及兼职人员。</w:t>
      </w:r>
    </w:p>
    <w:p w14:paraId="2A2ED959">
      <w:pPr>
        <w:spacing w:line="560" w:lineRule="exact"/>
        <w:ind w:firstLine="674" w:firstLineChars="200"/>
        <w:rPr>
          <w:rFonts w:ascii="仿宋_GB2312"/>
          <w:color w:val="000000"/>
          <w:szCs w:val="32"/>
        </w:rPr>
      </w:pPr>
      <w:r>
        <w:rPr>
          <w:rFonts w:hint="eastAsia" w:ascii="仿宋_GB2312"/>
          <w:color w:val="000000"/>
          <w:szCs w:val="32"/>
        </w:rPr>
        <w:t>省重点实验室应建立健全人员分类管理和激励机制，对科研人员、实验技术人员、管理人员采用不同的管理和评价方式，吸引、汇聚和培养优秀人才，保持人员结构和规模合理，并适当流动。设置专职秘书或科研助理岗位，专门从事省重点实验室日常管理工作。</w:t>
      </w:r>
    </w:p>
    <w:p w14:paraId="66DCE233">
      <w:pPr>
        <w:spacing w:line="560" w:lineRule="exact"/>
        <w:ind w:firstLine="674" w:firstLineChars="200"/>
        <w:rPr>
          <w:rFonts w:hint="eastAsia" w:ascii="仿宋_GB2312"/>
          <w:color w:val="000000"/>
          <w:szCs w:val="32"/>
        </w:rPr>
      </w:pPr>
      <w:r>
        <w:rPr>
          <w:rFonts w:hint="eastAsia" w:ascii="仿宋_GB2312"/>
          <w:color w:val="000000"/>
          <w:szCs w:val="32"/>
        </w:rPr>
        <w:t>第二十四条 省重点实验室应注重学术梯队和优秀中青年队伍建设，强化高水平领军人才和青年人才的引进培养，鼓励青年科技人才挑大梁、当主角，不断完善人才引育留用、评价和激励机制。</w:t>
      </w:r>
    </w:p>
    <w:p w14:paraId="51DE0F60">
      <w:pPr>
        <w:spacing w:line="560" w:lineRule="exact"/>
        <w:ind w:firstLine="630"/>
        <w:rPr>
          <w:rFonts w:hint="eastAsia" w:ascii="仿宋_GB2312"/>
          <w:color w:val="000000"/>
          <w:szCs w:val="32"/>
        </w:rPr>
      </w:pPr>
      <w:r>
        <w:rPr>
          <w:rFonts w:hint="eastAsia" w:ascii="仿宋_GB2312"/>
          <w:color w:val="000000"/>
          <w:szCs w:val="32"/>
        </w:rPr>
        <w:t>第二十五条 省重点实验室应加强有组织科研，建立协同攻关的科研组织模式，围绕主要任务和研究方向设立自主研究课题，组织团队开展持续深入的系统性研究，鼓励探索非共识性研究，鼓励开展实验技术方法与仪器设备提升改造等创新研究。</w:t>
      </w:r>
    </w:p>
    <w:p w14:paraId="21F72124">
      <w:pPr>
        <w:spacing w:line="560" w:lineRule="exact"/>
        <w:ind w:firstLine="674" w:firstLineChars="200"/>
        <w:rPr>
          <w:rFonts w:hint="eastAsia" w:ascii="仿宋_GB2312"/>
          <w:color w:val="000000"/>
          <w:szCs w:val="32"/>
        </w:rPr>
      </w:pPr>
      <w:r>
        <w:rPr>
          <w:rFonts w:hint="eastAsia" w:ascii="仿宋_GB2312"/>
          <w:color w:val="000000"/>
          <w:szCs w:val="32"/>
        </w:rPr>
        <w:t>第二十六条 省重点实验室应在确保国家安全和保护知识产权的前提下，加大开放力度，发挥示范引领和辐射带动作用，积极开展国际国内科技合作和学术交流，参与国际科技合作计划。建立健全访问学者等开放制度，通过设立开放课题等方式，吸引国内外研究人员到省重点实验室开展合作研究。</w:t>
      </w:r>
      <w:bookmarkStart w:id="4" w:name="_Hlk175412601"/>
      <w:r>
        <w:rPr>
          <w:rFonts w:hint="eastAsia" w:ascii="仿宋_GB2312"/>
          <w:color w:val="000000"/>
          <w:szCs w:val="32"/>
        </w:rPr>
        <w:t>应重视科学技术普及，积极开展多种形式的开放活动，宣传最新的科学发展动态。</w:t>
      </w:r>
    </w:p>
    <w:bookmarkEnd w:id="4"/>
    <w:p w14:paraId="4C330C78">
      <w:pPr>
        <w:spacing w:line="560" w:lineRule="exact"/>
        <w:ind w:firstLine="674" w:firstLineChars="200"/>
        <w:rPr>
          <w:rFonts w:hint="eastAsia" w:ascii="仿宋_GB2312"/>
          <w:color w:val="000000"/>
          <w:szCs w:val="32"/>
        </w:rPr>
      </w:pPr>
      <w:r>
        <w:rPr>
          <w:rFonts w:hint="eastAsia" w:ascii="仿宋_GB2312"/>
          <w:color w:val="000000"/>
          <w:szCs w:val="32"/>
        </w:rPr>
        <w:t>第二十七条 省重点实验室应按照国家有关规定和要求，加强信息化能力建设，使用财政资金购买的大型仪器设备应加入福建省大型科研设施仪器管理服务平台，推动大型科研仪器和科学数据等科技资源开放共享，有计划地实施科研仪器设备的更新改造或自主研制。</w:t>
      </w:r>
    </w:p>
    <w:p w14:paraId="0C18549C">
      <w:pPr>
        <w:adjustRightInd w:val="0"/>
        <w:snapToGrid w:val="0"/>
        <w:spacing w:line="560" w:lineRule="exact"/>
        <w:ind w:firstLine="674" w:firstLineChars="200"/>
        <w:rPr>
          <w:rFonts w:hint="eastAsia" w:ascii="仿宋_GB2312"/>
          <w:color w:val="000000"/>
          <w:szCs w:val="32"/>
        </w:rPr>
      </w:pPr>
      <w:r>
        <w:rPr>
          <w:rFonts w:hint="eastAsia" w:ascii="仿宋_GB2312"/>
          <w:color w:val="000000"/>
          <w:szCs w:val="32"/>
        </w:rPr>
        <w:t>第二十八条 省重点实验室应加强知识产权管理、保护和运用。主要利用省重点实验室的物质资源、技术条件完成的专著、论文软件、数据库等研究成果均应标注省重点实验室名称。</w:t>
      </w:r>
    </w:p>
    <w:p w14:paraId="3ECF13D2">
      <w:pPr>
        <w:adjustRightInd w:val="0"/>
        <w:snapToGrid w:val="0"/>
        <w:spacing w:line="560" w:lineRule="exact"/>
        <w:ind w:firstLine="674" w:firstLineChars="200"/>
        <w:rPr>
          <w:rFonts w:hint="eastAsia" w:ascii="仿宋_GB2312"/>
          <w:color w:val="000000"/>
          <w:szCs w:val="32"/>
        </w:rPr>
      </w:pPr>
      <w:r>
        <w:rPr>
          <w:rFonts w:hint="eastAsia" w:ascii="仿宋_GB2312"/>
          <w:color w:val="000000"/>
          <w:szCs w:val="32"/>
        </w:rPr>
        <w:t>第二十九条 省重点实验室应结合自身特点</w:t>
      </w:r>
      <w:r>
        <w:rPr>
          <w:rFonts w:hint="eastAsia" w:ascii="仿宋_GB2312"/>
          <w:color w:val="000000"/>
          <w:szCs w:val="32"/>
          <w:lang w:eastAsia="zh-CN"/>
        </w:rPr>
        <w:t>，</w:t>
      </w:r>
      <w:r>
        <w:rPr>
          <w:rFonts w:hint="eastAsia" w:ascii="仿宋_GB2312"/>
          <w:color w:val="000000"/>
          <w:szCs w:val="32"/>
        </w:rPr>
        <w:t>加强与产业界的联系与合作，推进产学研融通发展。赋予科研人员在成果转化中的充分自主权，促进科技成果转化应用</w:t>
      </w:r>
      <w:r>
        <w:rPr>
          <w:rFonts w:hint="eastAsia" w:ascii="仿宋_GB2312"/>
          <w:color w:val="000000"/>
          <w:szCs w:val="32"/>
          <w:highlight w:val="none"/>
          <w:lang w:eastAsia="zh-CN"/>
        </w:rPr>
        <w:t>，</w:t>
      </w:r>
      <w:r>
        <w:rPr>
          <w:rFonts w:hint="eastAsia" w:ascii="仿宋_GB2312"/>
          <w:color w:val="000000"/>
          <w:szCs w:val="32"/>
        </w:rPr>
        <w:t>推动科技创新和产业创新深度融合。</w:t>
      </w:r>
    </w:p>
    <w:p w14:paraId="1DE4F56E">
      <w:pPr>
        <w:adjustRightInd w:val="0"/>
        <w:snapToGrid w:val="0"/>
        <w:spacing w:line="560" w:lineRule="exact"/>
        <w:ind w:firstLine="674" w:firstLineChars="200"/>
        <w:rPr>
          <w:rFonts w:ascii="仿宋_GB2312"/>
          <w:color w:val="000000"/>
          <w:szCs w:val="32"/>
        </w:rPr>
      </w:pPr>
      <w:r>
        <w:rPr>
          <w:rFonts w:hint="eastAsia" w:ascii="仿宋_GB2312"/>
          <w:color w:val="000000"/>
          <w:szCs w:val="32"/>
        </w:rPr>
        <w:t>第三十条 省重点实验室应弘扬科学家精神，重视科学道德和学风建设，坚守科研诚信和科研伦理底线，积极营造风清气正、潜心研究、宽松民主、鼓励创新、宽容失败的良好环境。</w:t>
      </w:r>
    </w:p>
    <w:p w14:paraId="1B79334F">
      <w:pPr>
        <w:spacing w:line="560" w:lineRule="exact"/>
        <w:ind w:firstLine="674" w:firstLineChars="200"/>
        <w:rPr>
          <w:rFonts w:ascii="仿宋_GB2312"/>
          <w:color w:val="000000"/>
          <w:szCs w:val="32"/>
        </w:rPr>
      </w:pPr>
      <w:r>
        <w:rPr>
          <w:rFonts w:hint="eastAsia" w:ascii="仿宋_GB2312"/>
          <w:color w:val="000000"/>
          <w:szCs w:val="32"/>
        </w:rPr>
        <w:t>第三十一条 省重点实验室应严格遵守国家安全保密相关法律法规，建立健全相关制度，落实国家及福建对科技敏感信息的保密要求，确保国家秘密安全。</w:t>
      </w:r>
    </w:p>
    <w:p w14:paraId="1D9DD6C9">
      <w:pPr>
        <w:spacing w:line="560" w:lineRule="exact"/>
        <w:ind w:firstLine="674" w:firstLineChars="200"/>
        <w:rPr>
          <w:rFonts w:hint="eastAsia" w:ascii="仿宋_GB2312"/>
          <w:color w:val="000000"/>
          <w:szCs w:val="32"/>
        </w:rPr>
      </w:pPr>
      <w:r>
        <w:rPr>
          <w:rFonts w:hint="eastAsia" w:ascii="仿宋_GB2312"/>
          <w:color w:val="000000"/>
          <w:szCs w:val="32"/>
        </w:rPr>
        <w:t>第三十二条 省重点实验室应当建立健全内部规章制度，规范科研、财务、资产、安全等重要事项管理，树牢安全发展理念，弘扬生命至上、安全第一的思想，强化实验安全、消防安全意识，开展危险源辨识和风险评估，明确标识安全隐患和应对措施，切实消除隐患。</w:t>
      </w:r>
    </w:p>
    <w:p w14:paraId="770EBC03">
      <w:pPr>
        <w:spacing w:line="560" w:lineRule="exact"/>
        <w:ind w:firstLine="674" w:firstLineChars="200"/>
        <w:rPr>
          <w:rFonts w:hint="eastAsia" w:ascii="仿宋_GB2312"/>
          <w:color w:val="000000"/>
          <w:szCs w:val="32"/>
        </w:rPr>
      </w:pPr>
      <w:r>
        <w:rPr>
          <w:rFonts w:hint="eastAsia" w:ascii="仿宋_GB2312"/>
          <w:color w:val="000000"/>
          <w:szCs w:val="32"/>
        </w:rPr>
        <w:t xml:space="preserve">第三十三条 </w:t>
      </w:r>
      <w:bookmarkStart w:id="5" w:name="_Hlk180653822"/>
      <w:r>
        <w:rPr>
          <w:rFonts w:hint="eastAsia" w:ascii="仿宋_GB2312"/>
          <w:color w:val="000000"/>
          <w:szCs w:val="32"/>
        </w:rPr>
        <w:t>省重点实验室应加强宣传，扩大社会影响力，及时报送重大科研学术活动、阶段性重要科研进展、突破性成果等情况。</w:t>
      </w:r>
      <w:bookmarkEnd w:id="5"/>
    </w:p>
    <w:p w14:paraId="41C0D6C7">
      <w:pPr>
        <w:pStyle w:val="2"/>
        <w:spacing w:after="0" w:line="560" w:lineRule="exact"/>
        <w:ind w:firstLine="674" w:firstLineChars="200"/>
        <w:rPr>
          <w:rFonts w:hint="eastAsia" w:ascii="仿宋_GB2312" w:hAnsi="宋体"/>
          <w:color w:val="000000"/>
          <w:szCs w:val="32"/>
        </w:rPr>
      </w:pPr>
      <w:bookmarkStart w:id="6" w:name="_Hlk180582697"/>
      <w:r>
        <w:rPr>
          <w:rFonts w:hint="eastAsia" w:ascii="仿宋_GB2312"/>
          <w:color w:val="000000"/>
          <w:szCs w:val="32"/>
        </w:rPr>
        <w:t>第三十四条</w:t>
      </w:r>
      <w:bookmarkEnd w:id="6"/>
      <w:r>
        <w:rPr>
          <w:rFonts w:hint="eastAsia" w:ascii="仿宋_GB2312"/>
          <w:color w:val="000000"/>
          <w:szCs w:val="32"/>
        </w:rPr>
        <w:t xml:space="preserve"> </w:t>
      </w:r>
      <w:r>
        <w:rPr>
          <w:rFonts w:hint="eastAsia" w:ascii="仿宋_GB2312" w:hAnsi="宋体"/>
          <w:color w:val="000000"/>
          <w:szCs w:val="32"/>
        </w:rPr>
        <w:t>省重点实验室变更名称、调整研究方向</w:t>
      </w:r>
      <w:r>
        <w:rPr>
          <w:rFonts w:hint="eastAsia" w:ascii="仿宋_GB2312"/>
          <w:color w:val="000000"/>
          <w:szCs w:val="32"/>
        </w:rPr>
        <w:t>、增加共建单位的</w:t>
      </w:r>
      <w:r>
        <w:rPr>
          <w:rFonts w:hint="eastAsia" w:ascii="仿宋_GB2312" w:hAnsi="宋体"/>
          <w:color w:val="000000"/>
          <w:szCs w:val="32"/>
        </w:rPr>
        <w:t>，应经学术委员会论证，由依托单位提出书面申请、业务主管部门审核同意后报省科技厅研究批复。</w:t>
      </w:r>
    </w:p>
    <w:p w14:paraId="3F631C5B">
      <w:pPr>
        <w:pStyle w:val="2"/>
        <w:spacing w:after="0" w:line="560" w:lineRule="exact"/>
        <w:ind w:firstLine="674" w:firstLineChars="200"/>
        <w:rPr>
          <w:rFonts w:ascii="仿宋_GB2312"/>
          <w:color w:val="000000"/>
          <w:szCs w:val="32"/>
        </w:rPr>
      </w:pPr>
      <w:r>
        <w:rPr>
          <w:rFonts w:hint="eastAsia" w:ascii="仿宋_GB2312" w:hAnsi="宋体"/>
          <w:color w:val="000000"/>
          <w:szCs w:val="32"/>
        </w:rPr>
        <w:t>申请变更的名称，应体现研究方向并具有优势特色；申请调整的研究方向，应具备相应建设基础，调整前后应具有延续性和关联性</w:t>
      </w:r>
      <w:r>
        <w:rPr>
          <w:rFonts w:hint="eastAsia" w:ascii="仿宋_GB2312" w:hAnsi="宋体"/>
          <w:color w:val="000000"/>
          <w:szCs w:val="32"/>
          <w:lang w:eastAsia="zh-CN"/>
        </w:rPr>
        <w:t>；</w:t>
      </w:r>
      <w:r>
        <w:rPr>
          <w:rFonts w:hint="eastAsia" w:ascii="仿宋_GB2312" w:hAnsi="宋体"/>
          <w:color w:val="000000"/>
          <w:szCs w:val="32"/>
        </w:rPr>
        <w:t>申请</w:t>
      </w:r>
      <w:r>
        <w:rPr>
          <w:rFonts w:hint="eastAsia" w:ascii="仿宋_GB2312"/>
          <w:color w:val="000000"/>
          <w:szCs w:val="32"/>
        </w:rPr>
        <w:t>增加的共建单位，除应满足第十三条规定的认定条件外，还应与第一依托单位具有良好的共建基础和实质性合作。</w:t>
      </w:r>
    </w:p>
    <w:p w14:paraId="5941E9D2">
      <w:pPr>
        <w:spacing w:line="560" w:lineRule="exact"/>
        <w:ind w:firstLine="674" w:firstLineChars="200"/>
        <w:rPr>
          <w:rFonts w:hint="eastAsia" w:ascii="仿宋_GB2312"/>
          <w:color w:val="000000"/>
          <w:szCs w:val="32"/>
        </w:rPr>
      </w:pPr>
      <w:r>
        <w:rPr>
          <w:rFonts w:hint="eastAsia" w:ascii="仿宋_GB2312"/>
          <w:color w:val="000000"/>
          <w:szCs w:val="32"/>
        </w:rPr>
        <w:t>依托单位变更名称的，由依托单位申请、经业务主管部门审核同意后报省科技厅备案。</w:t>
      </w:r>
    </w:p>
    <w:p w14:paraId="7352CE3A">
      <w:pPr>
        <w:spacing w:line="560" w:lineRule="exact"/>
        <w:ind w:firstLine="674" w:firstLineChars="200"/>
        <w:rPr>
          <w:rFonts w:ascii="仿宋_GB2312"/>
          <w:color w:val="000000"/>
          <w:szCs w:val="32"/>
        </w:rPr>
      </w:pPr>
      <w:r>
        <w:rPr>
          <w:rFonts w:hint="eastAsia" w:ascii="仿宋_GB2312" w:hAnsi="宋体"/>
          <w:color w:val="000000"/>
          <w:szCs w:val="32"/>
        </w:rPr>
        <w:t>建设期间、考核评估当年和整改期间不受理上述变更及实验室主任变更等事宜。</w:t>
      </w:r>
    </w:p>
    <w:p w14:paraId="566623CB">
      <w:pPr>
        <w:pStyle w:val="2"/>
        <w:spacing w:after="0" w:line="560" w:lineRule="exact"/>
        <w:ind w:firstLine="674" w:firstLineChars="200"/>
        <w:rPr>
          <w:rFonts w:ascii="仿宋_GB2312"/>
          <w:b/>
          <w:bCs/>
          <w:color w:val="000000"/>
          <w:szCs w:val="32"/>
        </w:rPr>
      </w:pPr>
      <w:r>
        <w:rPr>
          <w:rFonts w:hint="eastAsia" w:ascii="仿宋_GB2312"/>
          <w:color w:val="000000"/>
          <w:szCs w:val="32"/>
        </w:rPr>
        <w:t>第三十五条 省科技厅建设“福建省重点实验室管理平台”，省重点实验室通过平台进行申报、验收、年度报告、考核评估、变更等有关管理工作。省重点实验室应及时维护平台相关信息。</w:t>
      </w:r>
    </w:p>
    <w:p w14:paraId="2A38AD43">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第五章 考核与评估</w:t>
      </w:r>
    </w:p>
    <w:p w14:paraId="3E639E95">
      <w:pPr>
        <w:adjustRightInd w:val="0"/>
        <w:snapToGrid w:val="0"/>
        <w:spacing w:line="560" w:lineRule="exact"/>
        <w:jc w:val="left"/>
        <w:rPr>
          <w:rFonts w:hint="eastAsia" w:ascii="仿宋_GB2312" w:hAnsi="宋体"/>
          <w:color w:val="000000"/>
          <w:szCs w:val="32"/>
        </w:rPr>
      </w:pPr>
      <w:r>
        <w:rPr>
          <w:rFonts w:hint="eastAsia" w:ascii="仿宋_GB2312" w:hAnsi="宋体"/>
          <w:color w:val="000000"/>
          <w:szCs w:val="32"/>
        </w:rPr>
        <w:t xml:space="preserve">    </w:t>
      </w:r>
      <w:r>
        <w:rPr>
          <w:rFonts w:hint="eastAsia" w:ascii="仿宋_GB2312"/>
          <w:color w:val="000000"/>
          <w:szCs w:val="32"/>
        </w:rPr>
        <w:t xml:space="preserve">第三十六条 </w:t>
      </w:r>
      <w:r>
        <w:rPr>
          <w:rFonts w:hint="eastAsia" w:ascii="仿宋_GB2312" w:hAnsi="宋体"/>
          <w:color w:val="000000"/>
          <w:szCs w:val="32"/>
        </w:rPr>
        <w:t>省科技厅对省重点实验室实行年度报告和定期考核评估相结合的动态管理方式。</w:t>
      </w:r>
    </w:p>
    <w:p w14:paraId="48106E9C">
      <w:pPr>
        <w:adjustRightInd w:val="0"/>
        <w:snapToGrid w:val="0"/>
        <w:spacing w:line="560" w:lineRule="exact"/>
        <w:ind w:firstLine="641"/>
        <w:jc w:val="left"/>
        <w:rPr>
          <w:rFonts w:hint="eastAsia"/>
          <w:color w:val="000000"/>
        </w:rPr>
      </w:pPr>
      <w:r>
        <w:rPr>
          <w:rFonts w:hint="eastAsia" w:ascii="仿宋_GB2312"/>
          <w:color w:val="000000"/>
          <w:szCs w:val="32"/>
        </w:rPr>
        <w:t>第三十七条 年度报告是省重点实验室考核评估的重要内容。省重点实验室应当及时总结年度运行情况，经依托单位和业务主管部门审核同意后，在规定时间内报送省科技厅。</w:t>
      </w:r>
    </w:p>
    <w:p w14:paraId="5E886D2C">
      <w:pPr>
        <w:spacing w:line="560" w:lineRule="exact"/>
        <w:ind w:firstLine="674" w:firstLineChars="200"/>
        <w:rPr>
          <w:rFonts w:hint="eastAsia" w:ascii="仿宋_GB2312"/>
          <w:color w:val="000000"/>
          <w:szCs w:val="32"/>
        </w:rPr>
      </w:pPr>
      <w:r>
        <w:rPr>
          <w:rFonts w:hint="eastAsia" w:ascii="仿宋_GB2312" w:hAnsi="宋体"/>
          <w:color w:val="000000"/>
          <w:szCs w:val="32"/>
        </w:rPr>
        <w:t>第三十</w:t>
      </w:r>
      <w:r>
        <w:rPr>
          <w:rFonts w:hint="eastAsia" w:ascii="仿宋_GB2312"/>
          <w:color w:val="000000"/>
          <w:szCs w:val="32"/>
        </w:rPr>
        <w:t>八</w:t>
      </w:r>
      <w:r>
        <w:rPr>
          <w:rFonts w:hint="eastAsia" w:ascii="仿宋_GB2312" w:hAnsi="宋体"/>
          <w:color w:val="000000"/>
          <w:szCs w:val="32"/>
        </w:rPr>
        <w:t xml:space="preserve">条 </w:t>
      </w:r>
      <w:r>
        <w:rPr>
          <w:rFonts w:hint="eastAsia" w:ascii="仿宋_GB2312" w:hAnsi="仿宋_GB2312"/>
          <w:color w:val="000000"/>
        </w:rPr>
        <w:t>省重点实验室考核评估主要检查实验室整体运行状况，引导实验室进一步聚焦定位和发展方向，强化实验室对国家和福建重点发展战略和发展领域的科技支撑，推动实验室高质量建设与发展。</w:t>
      </w:r>
    </w:p>
    <w:p w14:paraId="0A85E105">
      <w:pPr>
        <w:spacing w:line="560" w:lineRule="exact"/>
        <w:ind w:firstLine="674" w:firstLineChars="200"/>
        <w:rPr>
          <w:color w:val="000000"/>
        </w:rPr>
      </w:pPr>
      <w:r>
        <w:rPr>
          <w:rFonts w:hint="eastAsia" w:ascii="仿宋_GB2312" w:hAnsi="宋体"/>
          <w:color w:val="000000"/>
          <w:szCs w:val="32"/>
        </w:rPr>
        <w:t>第三十</w:t>
      </w:r>
      <w:r>
        <w:rPr>
          <w:rFonts w:hint="eastAsia" w:ascii="仿宋_GB2312"/>
          <w:color w:val="000000"/>
          <w:szCs w:val="32"/>
        </w:rPr>
        <w:t>九</w:t>
      </w:r>
      <w:r>
        <w:rPr>
          <w:rFonts w:hint="eastAsia" w:ascii="仿宋_GB2312" w:hAnsi="宋体"/>
          <w:color w:val="000000"/>
          <w:szCs w:val="32"/>
        </w:rPr>
        <w:t xml:space="preserve">条 </w:t>
      </w:r>
      <w:r>
        <w:rPr>
          <w:rFonts w:hint="eastAsia"/>
          <w:color w:val="000000"/>
        </w:rPr>
        <w:t>省科技厅委托有关机构定期对省重点实验室进行考核评估，</w:t>
      </w:r>
      <w:r>
        <w:rPr>
          <w:rFonts w:hint="eastAsia" w:ascii="仿宋_GB2312" w:hAnsi="仿宋_GB2312" w:eastAsia="仿宋_GB2312" w:cs="仿宋_GB2312"/>
          <w:color w:val="000000"/>
        </w:rPr>
        <w:t>原则上3年为一个</w:t>
      </w:r>
      <w:r>
        <w:rPr>
          <w:rFonts w:hint="eastAsia"/>
          <w:color w:val="000000"/>
        </w:rPr>
        <w:t>评估周期。</w:t>
      </w:r>
      <w:r>
        <w:rPr>
          <w:rFonts w:hint="eastAsia" w:ascii="仿宋_GB2312" w:hAnsi="宋体"/>
          <w:color w:val="000000"/>
          <w:szCs w:val="32"/>
        </w:rPr>
        <w:t>不参加</w:t>
      </w:r>
      <w:r>
        <w:rPr>
          <w:rFonts w:hint="eastAsia" w:ascii="仿宋_GB2312"/>
          <w:color w:val="000000"/>
          <w:kern w:val="24"/>
          <w:szCs w:val="32"/>
        </w:rPr>
        <w:t>定期考核评估</w:t>
      </w:r>
      <w:r>
        <w:rPr>
          <w:rFonts w:hint="eastAsia" w:ascii="仿宋_GB2312" w:hAnsi="宋体"/>
          <w:color w:val="000000"/>
          <w:szCs w:val="32"/>
        </w:rPr>
        <w:t>或中途退出的，视为自动放弃省重点实验室资格。</w:t>
      </w:r>
    </w:p>
    <w:p w14:paraId="653B7FC8">
      <w:pPr>
        <w:spacing w:line="560" w:lineRule="exact"/>
        <w:ind w:firstLine="674" w:firstLineChars="200"/>
        <w:rPr>
          <w:rFonts w:hint="eastAsia" w:ascii="仿宋_GB2312" w:hAnsi="宋体"/>
          <w:color w:val="000000"/>
          <w:szCs w:val="32"/>
        </w:rPr>
      </w:pPr>
      <w:r>
        <w:rPr>
          <w:rFonts w:hint="eastAsia" w:ascii="仿宋_GB2312" w:hAnsi="宋体"/>
          <w:color w:val="000000"/>
          <w:szCs w:val="32"/>
        </w:rPr>
        <w:t>第四十条 省重点实验室考核评估</w:t>
      </w:r>
      <w:r>
        <w:rPr>
          <w:rFonts w:hint="eastAsia"/>
          <w:color w:val="000000"/>
        </w:rPr>
        <w:t>按照“四个面向”战略导向，</w:t>
      </w:r>
      <w:r>
        <w:rPr>
          <w:rFonts w:hint="eastAsia" w:ascii="仿宋_GB2312" w:hAnsi="宋体"/>
          <w:color w:val="000000"/>
          <w:szCs w:val="32"/>
        </w:rPr>
        <w:t>坚持“科学合理、客观公正、分类考核、以评促建”的原则，采用指标评测与专家评议相结合、会议评议与现场考察相结合的方式进行。考核评估工作主要从研究水平与成果贡献、人才培养与队伍建设、开放交流与科研条件、组织管理与建设支持等方面进行</w:t>
      </w:r>
      <w:r>
        <w:rPr>
          <w:rFonts w:hint="eastAsia"/>
          <w:color w:val="000000"/>
        </w:rPr>
        <w:t>。</w:t>
      </w:r>
    </w:p>
    <w:p w14:paraId="7ABF1CEE">
      <w:pPr>
        <w:spacing w:line="560" w:lineRule="exact"/>
        <w:ind w:firstLine="674" w:firstLineChars="200"/>
        <w:rPr>
          <w:rFonts w:hint="eastAsia"/>
          <w:color w:val="000000"/>
        </w:rPr>
      </w:pPr>
      <w:r>
        <w:rPr>
          <w:rFonts w:hint="eastAsia" w:ascii="仿宋_GB2312" w:hAnsi="宋体"/>
          <w:color w:val="000000"/>
          <w:szCs w:val="32"/>
        </w:rPr>
        <w:t>第四十一条 省科技厅根据省重点实验室考核评估成绩，确定省重点实验室考核评估结果。考核评估结果分为“优秀”“良好”“合格”“整改”“不合格”五类。</w:t>
      </w:r>
    </w:p>
    <w:p w14:paraId="6071AA9F">
      <w:pPr>
        <w:spacing w:line="560" w:lineRule="exact"/>
        <w:ind w:firstLine="674" w:firstLineChars="200"/>
        <w:rPr>
          <w:rFonts w:hint="eastAsia" w:ascii="仿宋_GB2312" w:hAnsi="宋体"/>
          <w:color w:val="000000"/>
          <w:szCs w:val="32"/>
        </w:rPr>
      </w:pPr>
      <w:bookmarkStart w:id="7" w:name="_Hlk172296852"/>
      <w:r>
        <w:rPr>
          <w:rFonts w:hint="eastAsia" w:ascii="仿宋_GB2312" w:hAnsi="宋体"/>
          <w:color w:val="000000"/>
          <w:szCs w:val="32"/>
        </w:rPr>
        <w:t>（一）此前连续3次考核评估结果为“优秀”的省重点实验室免评1次，结果确定为“优秀”。</w:t>
      </w:r>
    </w:p>
    <w:bookmarkEnd w:id="7"/>
    <w:p w14:paraId="3EF9B9FA">
      <w:pPr>
        <w:spacing w:line="560" w:lineRule="exact"/>
        <w:ind w:firstLine="674" w:firstLineChars="200"/>
        <w:rPr>
          <w:rFonts w:ascii="仿宋_GB2312" w:hAnsi="宋体"/>
          <w:color w:val="000000"/>
          <w:szCs w:val="32"/>
        </w:rPr>
      </w:pPr>
      <w:r>
        <w:rPr>
          <w:rFonts w:hint="eastAsia" w:ascii="仿宋_GB2312" w:hAnsi="宋体"/>
          <w:color w:val="000000"/>
          <w:szCs w:val="32"/>
        </w:rPr>
        <w:t>（二）考核评估结果为“优秀”“良好”的，分档确定后补助标准，按规定给予运行费补助。</w:t>
      </w:r>
    </w:p>
    <w:p w14:paraId="49C6D100">
      <w:pPr>
        <w:spacing w:line="560" w:lineRule="exact"/>
        <w:ind w:firstLine="674" w:firstLineChars="200"/>
        <w:rPr>
          <w:rFonts w:ascii="仿宋_GB2312" w:hAnsi="宋体"/>
          <w:color w:val="000000"/>
          <w:szCs w:val="32"/>
          <w:shd w:val="pct10" w:color="auto" w:fill="FFFFFF"/>
        </w:rPr>
      </w:pPr>
      <w:r>
        <w:rPr>
          <w:rFonts w:hint="eastAsia" w:ascii="仿宋_GB2312" w:hAnsi="宋体"/>
          <w:color w:val="000000"/>
          <w:szCs w:val="32"/>
        </w:rPr>
        <w:t>（三）</w:t>
      </w:r>
      <w:r>
        <w:rPr>
          <w:rFonts w:hint="eastAsia" w:ascii="仿宋_GB2312"/>
          <w:color w:val="000000"/>
          <w:szCs w:val="32"/>
        </w:rPr>
        <w:t>考核评估结果为“合格”的，保留省重点实验室</w:t>
      </w:r>
      <w:r>
        <w:rPr>
          <w:rFonts w:hint="eastAsia" w:ascii="仿宋_GB2312"/>
          <w:color w:val="000000"/>
          <w:szCs w:val="32"/>
          <w:lang w:eastAsia="zh-CN"/>
        </w:rPr>
        <w:t>资格</w:t>
      </w:r>
      <w:r>
        <w:rPr>
          <w:rFonts w:hint="eastAsia" w:ascii="仿宋_GB2312"/>
          <w:color w:val="000000"/>
          <w:szCs w:val="32"/>
        </w:rPr>
        <w:t>。</w:t>
      </w:r>
    </w:p>
    <w:p w14:paraId="1178511F">
      <w:pPr>
        <w:spacing w:line="560" w:lineRule="exact"/>
        <w:ind w:firstLine="674" w:firstLineChars="200"/>
        <w:rPr>
          <w:rFonts w:hint="eastAsia" w:ascii="仿宋_GB2312" w:hAnsi="宋体"/>
          <w:color w:val="000000"/>
          <w:szCs w:val="32"/>
        </w:rPr>
      </w:pPr>
      <w:r>
        <w:rPr>
          <w:rFonts w:hint="eastAsia" w:ascii="仿宋_GB2312"/>
          <w:color w:val="000000"/>
          <w:szCs w:val="32"/>
        </w:rPr>
        <w:t>（四）</w:t>
      </w:r>
      <w:r>
        <w:rPr>
          <w:rFonts w:hint="eastAsia" w:ascii="仿宋_GB2312" w:hAnsi="宋体"/>
          <w:color w:val="000000"/>
          <w:szCs w:val="32"/>
        </w:rPr>
        <w:t>考核评估结果为“整改”的，</w:t>
      </w:r>
      <w:r>
        <w:rPr>
          <w:rFonts w:ascii="仿宋_GB2312" w:hAnsi="宋体"/>
          <w:color w:val="000000"/>
          <w:szCs w:val="32"/>
        </w:rPr>
        <w:t>将予以通报并</w:t>
      </w:r>
      <w:r>
        <w:rPr>
          <w:rFonts w:hint="eastAsia" w:ascii="仿宋_GB2312" w:hAnsi="宋体"/>
          <w:color w:val="000000"/>
          <w:szCs w:val="32"/>
        </w:rPr>
        <w:t>在1年后复评</w:t>
      </w:r>
      <w:r>
        <w:rPr>
          <w:rFonts w:ascii="仿宋_GB2312" w:hAnsi="宋体"/>
          <w:color w:val="000000"/>
          <w:szCs w:val="32"/>
        </w:rPr>
        <w:t>，</w:t>
      </w:r>
      <w:r>
        <w:rPr>
          <w:rFonts w:hint="eastAsia" w:ascii="仿宋_GB2312" w:hAnsi="宋体"/>
          <w:color w:val="000000"/>
          <w:szCs w:val="32"/>
        </w:rPr>
        <w:t>通过整改的视同考核评估合格，仍未通过的或连续2次考评结果为“整改”的，取消省重点实验室资格。</w:t>
      </w:r>
    </w:p>
    <w:p w14:paraId="477E675E">
      <w:pPr>
        <w:spacing w:line="560" w:lineRule="exact"/>
        <w:ind w:firstLine="674" w:firstLineChars="200"/>
        <w:rPr>
          <w:rFonts w:ascii="仿宋_GB2312" w:hAnsi="宋体"/>
          <w:color w:val="000000"/>
          <w:szCs w:val="32"/>
        </w:rPr>
      </w:pPr>
      <w:bookmarkStart w:id="8" w:name="_Hlk172297234"/>
      <w:r>
        <w:rPr>
          <w:rFonts w:hint="eastAsia" w:ascii="仿宋_GB2312" w:hAnsi="宋体"/>
          <w:color w:val="000000"/>
          <w:szCs w:val="32"/>
        </w:rPr>
        <w:t>（</w:t>
      </w:r>
      <w:r>
        <w:rPr>
          <w:rFonts w:hint="eastAsia" w:ascii="仿宋_GB2312"/>
          <w:color w:val="000000"/>
          <w:szCs w:val="32"/>
        </w:rPr>
        <w:t>五</w:t>
      </w:r>
      <w:r>
        <w:rPr>
          <w:rFonts w:hint="eastAsia" w:ascii="仿宋_GB2312" w:hAnsi="宋体"/>
          <w:color w:val="000000"/>
          <w:szCs w:val="32"/>
        </w:rPr>
        <w:t>）考核评估结果为“不合格”</w:t>
      </w:r>
      <w:bookmarkEnd w:id="8"/>
      <w:r>
        <w:rPr>
          <w:rFonts w:hint="eastAsia" w:ascii="仿宋_GB2312" w:hAnsi="宋体"/>
          <w:color w:val="000000"/>
          <w:szCs w:val="32"/>
        </w:rPr>
        <w:t>的，取消省重点实验室资格。</w:t>
      </w:r>
    </w:p>
    <w:p w14:paraId="53E0EF39">
      <w:pPr>
        <w:spacing w:line="560" w:lineRule="exact"/>
        <w:ind w:firstLine="674" w:firstLineChars="200"/>
        <w:rPr>
          <w:rFonts w:hint="eastAsia" w:ascii="仿宋_GB2312" w:hAnsi="宋体"/>
          <w:color w:val="000000"/>
          <w:szCs w:val="32"/>
        </w:rPr>
      </w:pPr>
      <w:r>
        <w:rPr>
          <w:rFonts w:hint="eastAsia" w:ascii="仿宋_GB2312" w:hAnsi="宋体"/>
          <w:color w:val="000000"/>
          <w:szCs w:val="32"/>
        </w:rPr>
        <w:t>第四十二条 实验室及其依托单位严重违反国家法律、行政法规或地方性法规，出现重大科研诚信问题、发生重大安全责任事故或质量事故等造成不良社会影响的，依托单位被依法终止的以及实验室在立项申报或考核评估中存在严重弄虚作假行为的，取消省重点实验室资格，3年内不予受理重新组建申请。</w:t>
      </w:r>
    </w:p>
    <w:p w14:paraId="280B0B19">
      <w:pPr>
        <w:adjustRightInd w:val="0"/>
        <w:snapToGrid w:val="0"/>
        <w:spacing w:line="560" w:lineRule="exact"/>
        <w:ind w:firstLine="674" w:firstLineChars="200"/>
        <w:rPr>
          <w:rFonts w:hint="eastAsia" w:ascii="仿宋_GB2312" w:hAnsi="宋体"/>
          <w:b/>
          <w:bCs/>
          <w:color w:val="000000"/>
          <w:szCs w:val="32"/>
        </w:rPr>
      </w:pPr>
      <w:r>
        <w:rPr>
          <w:rFonts w:hint="eastAsia" w:ascii="仿宋_GB2312" w:hAnsi="宋体"/>
          <w:color w:val="000000"/>
          <w:szCs w:val="32"/>
        </w:rPr>
        <w:t>实验室因依托单位重组、科研团队重大调整、合作共建关系重大变化或其他不可抗拒因素等导致省重点实验室无法继续运行的，拒不接受检查验收、考核评估等监督管理的以及实验室依托单位自行要求撤销的</w:t>
      </w:r>
      <w:r>
        <w:rPr>
          <w:rFonts w:hint="eastAsia" w:ascii="仿宋_GB2312" w:hAnsi="宋体"/>
          <w:color w:val="000000"/>
          <w:szCs w:val="32"/>
          <w:lang w:eastAsia="zh-CN"/>
        </w:rPr>
        <w:t>，</w:t>
      </w:r>
      <w:r>
        <w:rPr>
          <w:rFonts w:hint="eastAsia" w:ascii="仿宋_GB2312" w:hAnsi="宋体"/>
          <w:color w:val="000000"/>
          <w:szCs w:val="32"/>
        </w:rPr>
        <w:t>取消省重点实验室资格，1年内不予受理重新组建申请。</w:t>
      </w:r>
    </w:p>
    <w:p w14:paraId="720BA2AA">
      <w:pPr>
        <w:spacing w:before="289" w:beforeLines="50" w:after="289" w:afterLines="50" w:line="560" w:lineRule="exact"/>
        <w:jc w:val="center"/>
        <w:rPr>
          <w:rFonts w:hint="eastAsia" w:ascii="黑体" w:hAnsi="黑体" w:eastAsia="黑体"/>
          <w:color w:val="000000"/>
          <w:szCs w:val="32"/>
        </w:rPr>
      </w:pPr>
      <w:r>
        <w:rPr>
          <w:rFonts w:hint="eastAsia" w:ascii="黑体" w:hAnsi="黑体" w:eastAsia="黑体"/>
          <w:color w:val="000000"/>
          <w:szCs w:val="32"/>
        </w:rPr>
        <w:t>第六章</w:t>
      </w:r>
      <w:r>
        <w:rPr>
          <w:rFonts w:ascii="Calibri" w:hAnsi="Calibri" w:eastAsia="黑体" w:cs="Calibri"/>
          <w:color w:val="000000"/>
          <w:szCs w:val="32"/>
        </w:rPr>
        <w:t>  </w:t>
      </w:r>
      <w:r>
        <w:rPr>
          <w:rFonts w:hint="eastAsia" w:ascii="黑体" w:hAnsi="黑体" w:eastAsia="黑体"/>
          <w:color w:val="000000"/>
          <w:szCs w:val="32"/>
        </w:rPr>
        <w:t>附</w:t>
      </w:r>
      <w:r>
        <w:rPr>
          <w:rFonts w:ascii="Calibri" w:hAnsi="Calibri" w:eastAsia="黑体" w:cs="Calibri"/>
          <w:color w:val="000000"/>
          <w:szCs w:val="32"/>
        </w:rPr>
        <w:t>  </w:t>
      </w:r>
      <w:r>
        <w:rPr>
          <w:rFonts w:hint="eastAsia" w:ascii="黑体" w:hAnsi="黑体" w:eastAsia="黑体"/>
          <w:color w:val="000000"/>
          <w:szCs w:val="32"/>
        </w:rPr>
        <w:t>则</w:t>
      </w:r>
    </w:p>
    <w:p w14:paraId="1BAB3986">
      <w:pPr>
        <w:spacing w:line="560" w:lineRule="exact"/>
        <w:ind w:firstLine="674" w:firstLineChars="200"/>
        <w:rPr>
          <w:rFonts w:ascii="仿宋_GB2312"/>
          <w:color w:val="000000"/>
          <w:szCs w:val="32"/>
        </w:rPr>
      </w:pPr>
      <w:r>
        <w:rPr>
          <w:rFonts w:hint="eastAsia" w:ascii="仿宋_GB2312"/>
          <w:color w:val="000000"/>
          <w:szCs w:val="32"/>
        </w:rPr>
        <w:t>第四十</w:t>
      </w:r>
      <w:r>
        <w:rPr>
          <w:rFonts w:hint="eastAsia" w:ascii="仿宋_GB2312" w:hAnsi="宋体"/>
          <w:color w:val="000000"/>
          <w:szCs w:val="32"/>
        </w:rPr>
        <w:t>三</w:t>
      </w:r>
      <w:r>
        <w:rPr>
          <w:rFonts w:hint="eastAsia" w:ascii="仿宋_GB2312"/>
          <w:color w:val="000000"/>
          <w:szCs w:val="32"/>
        </w:rPr>
        <w:t>条 省重点实验室统一命名为“福建省×××重点实验室”,英文名称为“Fujian Key Laboratory of ×××”。原则上只在第一依托单位挂牌，不在联合共建的依托单位挂牌。</w:t>
      </w:r>
    </w:p>
    <w:p w14:paraId="6539F816">
      <w:pPr>
        <w:spacing w:line="560" w:lineRule="exact"/>
        <w:ind w:firstLine="674" w:firstLineChars="200"/>
        <w:rPr>
          <w:rFonts w:hint="eastAsia" w:ascii="仿宋_GB2312"/>
          <w:color w:val="000000"/>
          <w:szCs w:val="32"/>
        </w:rPr>
      </w:pPr>
      <w:r>
        <w:rPr>
          <w:rFonts w:hint="eastAsia" w:ascii="仿宋_GB2312"/>
          <w:color w:val="000000"/>
          <w:szCs w:val="32"/>
        </w:rPr>
        <w:t>第四十四条 相关单位不得将“福建省×××重点实验室”等字样用于广告、产品商标等商业化行为。</w:t>
      </w:r>
    </w:p>
    <w:p w14:paraId="00627CD4">
      <w:pPr>
        <w:spacing w:line="560" w:lineRule="exact"/>
        <w:ind w:firstLine="674" w:firstLineChars="200"/>
        <w:rPr>
          <w:rFonts w:ascii="仿宋_GB2312"/>
          <w:color w:val="000000"/>
          <w:szCs w:val="32"/>
          <w:shd w:val="pct10" w:color="auto" w:fill="FFFFFF"/>
        </w:rPr>
      </w:pPr>
      <w:r>
        <w:rPr>
          <w:rFonts w:hint="eastAsia" w:ascii="仿宋_GB2312"/>
          <w:color w:val="000000"/>
          <w:szCs w:val="32"/>
        </w:rPr>
        <w:t>第四十五条</w:t>
      </w:r>
      <w:r>
        <w:rPr>
          <w:rFonts w:hint="eastAsia" w:ascii="仿宋_GB2312" w:hAnsi="宋体"/>
          <w:color w:val="000000"/>
          <w:szCs w:val="32"/>
        </w:rPr>
        <w:t xml:space="preserve"> </w:t>
      </w:r>
      <w:r>
        <w:rPr>
          <w:rFonts w:hint="eastAsia" w:ascii="仿宋_GB2312"/>
          <w:color w:val="000000"/>
          <w:szCs w:val="32"/>
        </w:rPr>
        <w:t>本办法自发布之日起实施，有效期五年。</w:t>
      </w:r>
      <w:r>
        <w:rPr>
          <w:rFonts w:hint="eastAsia" w:ascii="仿宋_GB2312" w:hAnsi="宋体"/>
          <w:color w:val="000000"/>
          <w:szCs w:val="32"/>
        </w:rPr>
        <w:t>原</w:t>
      </w:r>
      <w:r>
        <w:rPr>
          <w:rFonts w:hint="eastAsia" w:ascii="仿宋_GB2312"/>
          <w:color w:val="000000"/>
          <w:szCs w:val="32"/>
        </w:rPr>
        <w:t>《福建省重点实验室</w:t>
      </w:r>
      <w:r>
        <w:rPr>
          <w:rFonts w:hint="eastAsia" w:ascii="仿宋_GB2312" w:hAnsi="宋体"/>
          <w:color w:val="000000"/>
          <w:szCs w:val="32"/>
        </w:rPr>
        <w:t>管理实施细则</w:t>
      </w:r>
      <w:r>
        <w:rPr>
          <w:rFonts w:hint="eastAsia" w:ascii="仿宋_GB2312"/>
          <w:color w:val="000000"/>
          <w:szCs w:val="32"/>
        </w:rPr>
        <w:t>》</w:t>
      </w:r>
      <w:r>
        <w:rPr>
          <w:rFonts w:hint="eastAsia" w:ascii="仿宋_GB2312" w:hAnsi="宋体"/>
          <w:color w:val="000000"/>
          <w:szCs w:val="32"/>
        </w:rPr>
        <w:t>（闽科基〔2016〕8号）</w:t>
      </w:r>
      <w:r>
        <w:rPr>
          <w:rFonts w:hint="eastAsia" w:ascii="仿宋_GB2312"/>
          <w:color w:val="000000"/>
          <w:szCs w:val="32"/>
        </w:rPr>
        <w:t>同时废止。</w:t>
      </w:r>
    </w:p>
    <w:p w14:paraId="1F64B944">
      <w:pPr>
        <w:spacing w:line="560" w:lineRule="exact"/>
        <w:ind w:firstLine="674" w:firstLineChars="200"/>
        <w:rPr>
          <w:rFonts w:hint="eastAsia" w:ascii="仿宋_GB2312"/>
          <w:color w:val="000000"/>
          <w:szCs w:val="32"/>
        </w:rPr>
      </w:pPr>
      <w:r>
        <w:rPr>
          <w:rFonts w:hint="eastAsia" w:ascii="仿宋_GB2312"/>
          <w:color w:val="000000"/>
          <w:szCs w:val="32"/>
        </w:rPr>
        <w:t>第四十六条</w:t>
      </w:r>
      <w:r>
        <w:rPr>
          <w:rFonts w:hint="eastAsia" w:ascii="仿宋_GB2312" w:hAnsi="宋体"/>
          <w:color w:val="000000"/>
          <w:szCs w:val="32"/>
        </w:rPr>
        <w:t xml:space="preserve"> </w:t>
      </w:r>
      <w:r>
        <w:rPr>
          <w:rFonts w:hint="eastAsia" w:ascii="仿宋_GB2312"/>
          <w:color w:val="000000"/>
          <w:szCs w:val="32"/>
        </w:rPr>
        <w:t>本办法由省科技厅负责解释。</w:t>
      </w:r>
    </w:p>
    <w:p w14:paraId="7F4A9C60">
      <w:pPr>
        <w:spacing w:line="570" w:lineRule="exact"/>
        <w:ind w:firstLine="674" w:firstLineChars="200"/>
        <w:rPr>
          <w:rFonts w:hint="eastAsia" w:ascii="仿宋_GB2312"/>
          <w:color w:val="000000"/>
          <w:szCs w:val="32"/>
        </w:rPr>
      </w:pPr>
    </w:p>
    <w:p w14:paraId="5FF7A646"/>
    <w:p w14:paraId="281E9F7E">
      <w:pPr>
        <w:tabs>
          <w:tab w:val="left" w:pos="5742"/>
        </w:tabs>
        <w:jc w:val="left"/>
        <w:rPr>
          <w:rFonts w:ascii="仿宋" w:hAnsi="仿宋" w:eastAsia="仿宋" w:cs="仿宋"/>
          <w:szCs w:val="32"/>
        </w:rPr>
      </w:pPr>
    </w:p>
    <w:p w14:paraId="0DB44685">
      <w:pPr>
        <w:rPr>
          <w:rFonts w:ascii="仿宋" w:hAnsi="仿宋" w:eastAsia="仿宋" w:cs="仿宋"/>
          <w:szCs w:val="32"/>
        </w:rPr>
      </w:pPr>
    </w:p>
    <w:p w14:paraId="0F4C8E40">
      <w:pPr>
        <w:tabs>
          <w:tab w:val="left" w:pos="2397"/>
        </w:tabs>
        <w:jc w:val="left"/>
      </w:pPr>
      <w:r>
        <w:rPr>
          <w:rFonts w:hint="eastAsia" w:ascii="仿宋_GB2312" w:hAnsi="宋体"/>
          <w:color w:val="000000"/>
          <w:szCs w:val="32"/>
        </w:rPr>
        <w:pict>
          <v:shape id="_x0000_s2134" o:spid="_x0000_s2134" o:spt="75" alt="http://portal.fj.cegn.cn:8081/lw-zwbg-cloud//core/upload/2026/01/14/20260114084323700.bmp" type="#_x0000_t75" style="position:absolute;left:0pt;margin-left:287.6pt;margin-top:646.6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116BAF71">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rPr>
                              <w:t>2026年1月</w:t>
                            </w:r>
                            <w:r>
                              <w:rPr>
                                <w:rFonts w:hint="default" w:ascii="仿宋" w:hAnsi="仿宋" w:eastAsia="仿宋" w:cs="仿宋"/>
                                <w:color w:val="000000"/>
                                <w:sz w:val="28"/>
                                <w:szCs w:val="28"/>
                                <w:lang w:val="en"/>
                              </w:rPr>
                              <w:t>15</w:t>
                            </w:r>
                            <w:r>
                              <w:rPr>
                                <w:rFonts w:hint="default" w:ascii="仿宋" w:hAnsi="仿宋" w:eastAsia="仿宋" w:cs="仿宋"/>
                                <w:color w:val="000000"/>
                                <w:sz w:val="28"/>
                                <w:szCs w:val="28"/>
                              </w:rPr>
                              <w:t>日</w:t>
                            </w:r>
                            <w:r>
                              <w:rPr>
                                <w:rFonts w:hint="eastAsia" w:ascii="仿宋" w:hAnsi="仿宋" w:eastAsia="仿宋" w:cs="仿宋"/>
                                <w:color w:val="000000"/>
                                <w:sz w:val="28"/>
                                <w:szCs w:val="28"/>
                                <w:lang w:eastAsia="zh-CN"/>
                              </w:rPr>
                              <w:t>印发</w:t>
                            </w:r>
                          </w:p>
                          <w:p w14:paraId="2EFFA7F1">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08BB51C">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116BAF71">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rPr>
                        <w:t>2026年1月</w:t>
                      </w:r>
                      <w:r>
                        <w:rPr>
                          <w:rFonts w:hint="default" w:ascii="仿宋" w:hAnsi="仿宋" w:eastAsia="仿宋" w:cs="仿宋"/>
                          <w:color w:val="000000"/>
                          <w:sz w:val="28"/>
                          <w:szCs w:val="28"/>
                          <w:lang w:val="en"/>
                        </w:rPr>
                        <w:t>15</w:t>
                      </w:r>
                      <w:r>
                        <w:rPr>
                          <w:rFonts w:hint="default" w:ascii="仿宋" w:hAnsi="仿宋" w:eastAsia="仿宋" w:cs="仿宋"/>
                          <w:color w:val="000000"/>
                          <w:sz w:val="28"/>
                          <w:szCs w:val="28"/>
                        </w:rPr>
                        <w:t>日</w:t>
                      </w:r>
                      <w:r>
                        <w:rPr>
                          <w:rFonts w:hint="eastAsia" w:ascii="仿宋" w:hAnsi="仿宋" w:eastAsia="仿宋" w:cs="仿宋"/>
                          <w:color w:val="000000"/>
                          <w:sz w:val="28"/>
                          <w:szCs w:val="28"/>
                          <w:lang w:eastAsia="zh-CN"/>
                        </w:rPr>
                        <w:t>印发</w:t>
                      </w:r>
                    </w:p>
                    <w:p w14:paraId="2EFFA7F1">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08BB51C">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C2520">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DD96F">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7DD96F">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AB120">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37DAB120">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6C62C">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34E6C62C">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F503">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4D154">
                          <w:pPr>
                            <w:pStyle w:val="6"/>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D4D154">
                    <w:pPr>
                      <w:pStyle w:val="6"/>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2CF26">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1FD2CF26">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AED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46A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C2247"/>
    <w:multiLevelType w:val="singleLevel"/>
    <w:tmpl w:val="F6FC22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0D06EB"/>
    <w:rsid w:val="19505B53"/>
    <w:rsid w:val="19650C20"/>
    <w:rsid w:val="197A371F"/>
    <w:rsid w:val="198B61EA"/>
    <w:rsid w:val="19E645F6"/>
    <w:rsid w:val="1A5237D2"/>
    <w:rsid w:val="1B3C0A64"/>
    <w:rsid w:val="1B6066CC"/>
    <w:rsid w:val="1BB51712"/>
    <w:rsid w:val="1D33228F"/>
    <w:rsid w:val="1DDD26C2"/>
    <w:rsid w:val="1DE2263C"/>
    <w:rsid w:val="1DED7EF8"/>
    <w:rsid w:val="1DF82449"/>
    <w:rsid w:val="1E6D0A91"/>
    <w:rsid w:val="1EDA1BAB"/>
    <w:rsid w:val="1FAE63A5"/>
    <w:rsid w:val="1FD2426D"/>
    <w:rsid w:val="21432B13"/>
    <w:rsid w:val="21D840EA"/>
    <w:rsid w:val="220D2283"/>
    <w:rsid w:val="22AB5A55"/>
    <w:rsid w:val="235B5D48"/>
    <w:rsid w:val="23A25E18"/>
    <w:rsid w:val="24A91D78"/>
    <w:rsid w:val="24BC297A"/>
    <w:rsid w:val="251A012E"/>
    <w:rsid w:val="252D6C96"/>
    <w:rsid w:val="25300745"/>
    <w:rsid w:val="25E92592"/>
    <w:rsid w:val="2629060B"/>
    <w:rsid w:val="268C261C"/>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2ECD5C8"/>
    <w:rsid w:val="33120C35"/>
    <w:rsid w:val="33272ACC"/>
    <w:rsid w:val="334E397C"/>
    <w:rsid w:val="33761233"/>
    <w:rsid w:val="338741F3"/>
    <w:rsid w:val="33C21221"/>
    <w:rsid w:val="34BB769F"/>
    <w:rsid w:val="350533A4"/>
    <w:rsid w:val="35484EA0"/>
    <w:rsid w:val="356912F5"/>
    <w:rsid w:val="35765D4C"/>
    <w:rsid w:val="35E60FE7"/>
    <w:rsid w:val="35ED1A54"/>
    <w:rsid w:val="35FE6FB1"/>
    <w:rsid w:val="36BB6FFC"/>
    <w:rsid w:val="36BC4B2B"/>
    <w:rsid w:val="373F6568"/>
    <w:rsid w:val="378C7AF8"/>
    <w:rsid w:val="37BBCBA4"/>
    <w:rsid w:val="37C33808"/>
    <w:rsid w:val="382240DD"/>
    <w:rsid w:val="38931923"/>
    <w:rsid w:val="38C7624D"/>
    <w:rsid w:val="39296970"/>
    <w:rsid w:val="3AA6DAF7"/>
    <w:rsid w:val="3B1B5A68"/>
    <w:rsid w:val="3B8813DF"/>
    <w:rsid w:val="3BD232D5"/>
    <w:rsid w:val="3BD26706"/>
    <w:rsid w:val="3C037495"/>
    <w:rsid w:val="3CC44E88"/>
    <w:rsid w:val="3D6F11AC"/>
    <w:rsid w:val="3D77CB6C"/>
    <w:rsid w:val="3DDB51E6"/>
    <w:rsid w:val="3F931636"/>
    <w:rsid w:val="3F960507"/>
    <w:rsid w:val="3FCFD3A4"/>
    <w:rsid w:val="3FFC3E1A"/>
    <w:rsid w:val="4106713A"/>
    <w:rsid w:val="411C3818"/>
    <w:rsid w:val="41E52835"/>
    <w:rsid w:val="41EE5A86"/>
    <w:rsid w:val="42452002"/>
    <w:rsid w:val="43505172"/>
    <w:rsid w:val="43FF35AF"/>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4FBE3ACC"/>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9825CF8"/>
    <w:rsid w:val="5A1029F4"/>
    <w:rsid w:val="5A510881"/>
    <w:rsid w:val="5A57687C"/>
    <w:rsid w:val="5B2EFB56"/>
    <w:rsid w:val="5B370F76"/>
    <w:rsid w:val="5B563719"/>
    <w:rsid w:val="5B9E71DC"/>
    <w:rsid w:val="5BAA2F91"/>
    <w:rsid w:val="5BDE621A"/>
    <w:rsid w:val="5CBA64FE"/>
    <w:rsid w:val="5CD6115D"/>
    <w:rsid w:val="5D5A6E09"/>
    <w:rsid w:val="5D8D2812"/>
    <w:rsid w:val="5D917125"/>
    <w:rsid w:val="5DE10276"/>
    <w:rsid w:val="5E4962EB"/>
    <w:rsid w:val="5EDF57B7"/>
    <w:rsid w:val="5F224280"/>
    <w:rsid w:val="5F2A42AB"/>
    <w:rsid w:val="5F350C62"/>
    <w:rsid w:val="5F6D7F51"/>
    <w:rsid w:val="5FA84C39"/>
    <w:rsid w:val="5FED8D87"/>
    <w:rsid w:val="5FFB207B"/>
    <w:rsid w:val="60435B53"/>
    <w:rsid w:val="604A1451"/>
    <w:rsid w:val="61711E91"/>
    <w:rsid w:val="6192389C"/>
    <w:rsid w:val="61F70B90"/>
    <w:rsid w:val="61F71D3E"/>
    <w:rsid w:val="62407C39"/>
    <w:rsid w:val="63036CBC"/>
    <w:rsid w:val="63D80686"/>
    <w:rsid w:val="658B6068"/>
    <w:rsid w:val="658C64AA"/>
    <w:rsid w:val="66433FC9"/>
    <w:rsid w:val="6707137A"/>
    <w:rsid w:val="671261C7"/>
    <w:rsid w:val="69045857"/>
    <w:rsid w:val="69065B02"/>
    <w:rsid w:val="6B804932"/>
    <w:rsid w:val="6BAE6ED1"/>
    <w:rsid w:val="6BBAE28C"/>
    <w:rsid w:val="6C63599C"/>
    <w:rsid w:val="6C957420"/>
    <w:rsid w:val="6CEA578E"/>
    <w:rsid w:val="6E8F6F36"/>
    <w:rsid w:val="6EC74583"/>
    <w:rsid w:val="6EFC666E"/>
    <w:rsid w:val="6EFEEBB7"/>
    <w:rsid w:val="6F454CBB"/>
    <w:rsid w:val="6F7EE1CA"/>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7F8D672"/>
    <w:rsid w:val="7873160F"/>
    <w:rsid w:val="789F6213"/>
    <w:rsid w:val="78CC7121"/>
    <w:rsid w:val="79330058"/>
    <w:rsid w:val="79704DCF"/>
    <w:rsid w:val="79F74DC6"/>
    <w:rsid w:val="7A795F15"/>
    <w:rsid w:val="7A7D5F36"/>
    <w:rsid w:val="7BE38BE6"/>
    <w:rsid w:val="7BFE365D"/>
    <w:rsid w:val="7C2E139C"/>
    <w:rsid w:val="7D59721C"/>
    <w:rsid w:val="7D647E3A"/>
    <w:rsid w:val="7E9D7FFA"/>
    <w:rsid w:val="7EE7465A"/>
    <w:rsid w:val="7EF433FC"/>
    <w:rsid w:val="7EFC999B"/>
    <w:rsid w:val="7F5FAC2A"/>
    <w:rsid w:val="7FCF3178"/>
    <w:rsid w:val="7FDBC172"/>
    <w:rsid w:val="7FED068C"/>
    <w:rsid w:val="7FEFFFFD"/>
    <w:rsid w:val="7FFB1604"/>
    <w:rsid w:val="7FFF1B46"/>
    <w:rsid w:val="90BFD454"/>
    <w:rsid w:val="969C2D16"/>
    <w:rsid w:val="99FFBC9C"/>
    <w:rsid w:val="9AFF18BE"/>
    <w:rsid w:val="B5FC38C4"/>
    <w:rsid w:val="B63B6FD4"/>
    <w:rsid w:val="B7FDD910"/>
    <w:rsid w:val="BDFE9B83"/>
    <w:rsid w:val="BE9BA389"/>
    <w:rsid w:val="BEFA5065"/>
    <w:rsid w:val="BFDFFD7F"/>
    <w:rsid w:val="BFF798C2"/>
    <w:rsid w:val="BFFB6FD6"/>
    <w:rsid w:val="C5FF0FDB"/>
    <w:rsid w:val="C6DEF02F"/>
    <w:rsid w:val="CED2A2CB"/>
    <w:rsid w:val="DB6B4F93"/>
    <w:rsid w:val="DEB57A5B"/>
    <w:rsid w:val="DEBBE1DE"/>
    <w:rsid w:val="E774297A"/>
    <w:rsid w:val="E9B9193A"/>
    <w:rsid w:val="EEFFD061"/>
    <w:rsid w:val="EFE56FB1"/>
    <w:rsid w:val="F3FE1D6C"/>
    <w:rsid w:val="F3FF24C8"/>
    <w:rsid w:val="F563632A"/>
    <w:rsid w:val="F5BBE60C"/>
    <w:rsid w:val="F5FB8056"/>
    <w:rsid w:val="F699DB8E"/>
    <w:rsid w:val="F69B7342"/>
    <w:rsid w:val="F7BF352B"/>
    <w:rsid w:val="F7EF9550"/>
    <w:rsid w:val="F7FFD79B"/>
    <w:rsid w:val="F89DB724"/>
    <w:rsid w:val="F9956016"/>
    <w:rsid w:val="F9B39E13"/>
    <w:rsid w:val="FABF11D9"/>
    <w:rsid w:val="FB7F9B81"/>
    <w:rsid w:val="FBBFEB00"/>
    <w:rsid w:val="FBD7082E"/>
    <w:rsid w:val="FBF962B0"/>
    <w:rsid w:val="FBFD89CE"/>
    <w:rsid w:val="FDBDF2D7"/>
    <w:rsid w:val="FE3ECB3F"/>
    <w:rsid w:val="FE7963C8"/>
    <w:rsid w:val="FEEE89A2"/>
    <w:rsid w:val="FFDB530A"/>
    <w:rsid w:val="FFDDEE03"/>
    <w:rsid w:val="FFEF42D7"/>
    <w:rsid w:val="FFFC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360"/>
    </w:pPr>
  </w:style>
  <w:style w:type="paragraph" w:styleId="3">
    <w:name w:val="Body Text"/>
    <w:basedOn w:val="1"/>
    <w:next w:val="2"/>
    <w:qFormat/>
    <w:uiPriority w:val="0"/>
    <w:pPr>
      <w:spacing w:after="120"/>
    </w:p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1/14/20260114084323700.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16</Pages>
  <Words>6718</Words>
  <Characters>6769</Characters>
  <Lines>6</Lines>
  <Paragraphs>1</Paragraphs>
  <TotalTime>44</TotalTime>
  <ScaleCrop>false</ScaleCrop>
  <LinksUpToDate>false</LinksUpToDate>
  <CharactersWithSpaces>7051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2013-10-19T01:18:00Z</dcterms:created>
  <dc:creator>hwenfeng</dc:creator>
  <cp:lastModifiedBy>zz洲</cp:lastModifiedBy>
  <cp:lastPrinted>2026-01-15T11:59:00Z</cp:lastPrinted>
  <dcterms:modified xsi:type="dcterms:W3CDTF">2026-01-15T08:46:57Z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28F1AA52338644379D760FDD226704FF_13</vt:lpwstr>
  </property>
  <property fmtid="{D5CDD505-2E9C-101B-9397-08002B2CF9AE}" pid="4" name="KSOTemplateDocerSaveRecord">
    <vt:lpwstr>eyJoZGlkIjoiOTBlYWY3ZDc0ZGU0Yjk1NDI1MjFiMzIzYmExMDQ1OTEiLCJ1c2VySWQiOiI4ODM2MjA3NTMifQ==</vt:lpwstr>
  </property>
</Properties>
</file>