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spacing w:line="560" w:lineRule="exact"/>
        <w:jc w:val="left"/>
        <w:rPr>
          <w:rFonts w:ascii="仿宋" w:hAnsi="仿宋" w:eastAsia="仿宋"/>
          <w:color w:val="auto"/>
          <w:kern w:val="0"/>
          <w:sz w:val="32"/>
          <w:szCs w:val="32"/>
        </w:rPr>
      </w:pPr>
    </w:p>
    <w:p>
      <w:pPr>
        <w:tabs>
          <w:tab w:val="left" w:pos="7020"/>
        </w:tabs>
        <w:spacing w:line="560" w:lineRule="exact"/>
        <w:jc w:val="left"/>
        <w:rPr>
          <w:rFonts w:ascii="仿宋" w:hAnsi="仿宋" w:eastAsia="仿宋"/>
          <w:color w:val="auto"/>
          <w:kern w:val="0"/>
          <w:sz w:val="32"/>
          <w:szCs w:val="32"/>
        </w:rPr>
      </w:pPr>
    </w:p>
    <w:p>
      <w:pPr>
        <w:tabs>
          <w:tab w:val="left" w:pos="7020"/>
        </w:tabs>
        <w:spacing w:line="560" w:lineRule="exact"/>
        <w:jc w:val="left"/>
        <w:rPr>
          <w:rFonts w:ascii="仿宋" w:hAnsi="仿宋" w:eastAsia="仿宋"/>
          <w:color w:val="auto"/>
          <w:kern w:val="0"/>
          <w:sz w:val="32"/>
          <w:szCs w:val="32"/>
        </w:rPr>
      </w:pPr>
    </w:p>
    <w:p>
      <w:pPr>
        <w:tabs>
          <w:tab w:val="left" w:pos="7020"/>
        </w:tabs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闽科新函〔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41号</w:t>
      </w:r>
    </w:p>
    <w:p>
      <w:pPr>
        <w:tabs>
          <w:tab w:val="left" w:pos="7020"/>
        </w:tabs>
        <w:spacing w:line="560" w:lineRule="exact"/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福建省科学技术厅关于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开展火炬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创业导师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征集和信息登记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工作的通知</w:t>
      </w:r>
    </w:p>
    <w:p>
      <w:pPr>
        <w:spacing w:line="560" w:lineRule="exact"/>
        <w:jc w:val="center"/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pStyle w:val="17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各设区市科技局、平潭综合实验区经济发展局，各有关单位：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为构建良好创新创业生态，加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强火炬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创业导师队伍建设，完善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火炬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创业导师体系，提升科技创新创业载体的孵化服务能力，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auto"/>
        </w:rPr>
        <w:t>按照“中国火炬创业导师行动”框架的要求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我厅将组织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火炬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创业导师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征集和信息登记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。现将有关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事项通知如下：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eastAsia="zh-CN"/>
        </w:rPr>
        <w:t>关于火炬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创业导师征集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火炬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创业导师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具备创新创业精神、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成功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创业经验，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具有创新创业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热情,乐于奉献，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并志愿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将自己的成长历程和成功经验分享给他人，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积极为创新型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中小企业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创业者提供持续性、导向性、专业性、实践性的辅导服务，满足创业需求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，同时，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愿意接受科技企业孵化器、众创空间、行业协会或科技管理部门聘任的专业人员。</w:t>
      </w:r>
    </w:p>
    <w:p>
      <w:pPr>
        <w:spacing w:line="560" w:lineRule="exact"/>
        <w:ind w:firstLine="636" w:firstLineChars="198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火炬创业导师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征集范围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1.高校院所从事专业领域创新创业技术指导及开展创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新创业研究、管理、双创活动指导的专家；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2.金融投资机构中具备投融资辅导经验的投资、金融专家；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3.从事科技服务、财税、管理咨询方面的专家；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4.科技企业孵化载体及科技园区中具备丰富经验的运营管理者；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5.具有多家成功企业创业经验的企业家。</w:t>
      </w:r>
    </w:p>
    <w:p>
      <w:pPr>
        <w:spacing w:line="560" w:lineRule="exact"/>
        <w:ind w:firstLine="636" w:firstLineChars="198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火炬创业导师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征集条件</w:t>
      </w:r>
    </w:p>
    <w:p>
      <w:pPr>
        <w:spacing w:line="560" w:lineRule="exact"/>
        <w:ind w:firstLine="636" w:firstLineChars="198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具备以下条件之一的个人均可参与创业导师的征集：</w:t>
      </w:r>
    </w:p>
    <w:p>
      <w:pPr>
        <w:spacing w:line="560" w:lineRule="exact"/>
        <w:ind w:firstLine="633" w:firstLineChars="198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1.愿意帮助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创新型中小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企业提高自主创新能力和管理水平，提供公益性服务，志愿贡献时间、精力、智慧和经验，帮助创业者走上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创业道路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并指导发现合作商机；</w:t>
      </w:r>
    </w:p>
    <w:p>
      <w:pPr>
        <w:spacing w:line="560" w:lineRule="exact"/>
        <w:ind w:firstLine="633" w:firstLineChars="198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有企业管理、市场运作等方面的专长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或经历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创业并已经获得成功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有辅导创业者成功的经历;</w:t>
      </w:r>
    </w:p>
    <w:p>
      <w:pPr>
        <w:spacing w:line="560" w:lineRule="exact"/>
        <w:ind w:firstLine="633" w:firstLineChars="198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有资金、人才、技术、市场等资源，对适合投资的项目和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创新型中小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企业，愿意率先投入，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对所指导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创新型中小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企业有合作意向。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kern w:val="0"/>
          <w:sz w:val="32"/>
          <w:szCs w:val="32"/>
          <w:lang w:eastAsia="zh-CN"/>
        </w:rPr>
        <w:t>关于火炬创业导师信息登记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此项工作委托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福建省高新技术发展促进会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和福建省高新技术创业服务中心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具体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火炬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创业导师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个人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信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息填报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志愿成为福建省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火炬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创业导师的人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（包括此前已被聘用为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火炬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创业导师的人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日前微信扫码“福建省创新创业孵化服务移动端平台”( 二维码见下图)，在线填写、提交个人信息表，并将“个人风采+服务案例”视频（5分钟以内）发至指定邮箱，同时向所在设区市科技局、平潭综合实验区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经济发展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局或其他具有推荐资格的主管部门提交《福建省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火炬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创业导师信息登记表》（附件1）。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drawing>
          <wp:inline distT="0" distB="0" distL="114300" distR="114300">
            <wp:extent cx="2232660" cy="2232660"/>
            <wp:effectExtent l="0" t="0" r="15240" b="15240"/>
            <wp:docPr id="1" name="图片 1" descr="微信图片_20221219100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191004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jc w:val="left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审核与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推荐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各设区市科技局、平潭综合实验区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经济发展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局或其他具有推荐资格的主管部门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火炬创业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导师信息登记表的完整性和真实性进行初审，审核通过后提出推荐意见并出具书面推荐函。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（三）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信息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报送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各设区市科技局、平潭综合实验区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经济发展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局或其他具有推荐资格的主管部门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日前将辖区内福建省火炬创业导师推荐函、推荐汇总表（附件2）及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火炬创业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导师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登记表纸质材料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一式2份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寄至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福建省高新技术发展促进会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，同时发送电子版至指定邮箱。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联系方式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福建省高新技术发展促进会：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联系电话：0591－87645522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地址：福州市鼓楼区工业路611号福建火炬高新技术创业园1号楼南区907室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邮箱：fjgch@cyzxhcyy.com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省科技厅创新办: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联系电话：0591-87863003 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HYPERLINK "http://www.chinatorch.gov.cn/fhq/gztz/201509/2c614b99810c42529ac4c82dd868e32a/files/4b9a33b8039d4fb49e519d616faeb120.docx" \t "_blank"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1.福建省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火炬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创业导师信息登记表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"http://www.chinatorch.gov.cn/fhq/gztz/201509/2c614b99810c42529ac4c82dd868e32a/files/37de265f3b52420bab9d6c5c410465d2.docx"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2.推荐汇总表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spacing w:line="560" w:lineRule="exact"/>
        <w:ind w:firstLine="2240" w:firstLineChars="7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2240" w:firstLineChars="7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2240" w:firstLineChars="7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福建省科学技术厅</w:t>
      </w:r>
    </w:p>
    <w:p>
      <w:pPr>
        <w:spacing w:line="560" w:lineRule="exact"/>
        <w:ind w:right="790"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2022年12月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spacing w:line="560" w:lineRule="exact"/>
        <w:ind w:right="79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（此件主动公开）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福建省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火炬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创业导师信息登记表</w:t>
      </w:r>
    </w:p>
    <w:tbl>
      <w:tblPr>
        <w:tblStyle w:val="5"/>
        <w:tblW w:w="99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550"/>
        <w:gridCol w:w="1485"/>
        <w:gridCol w:w="1890"/>
        <w:gridCol w:w="1005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导师姓名</w:t>
            </w:r>
          </w:p>
        </w:tc>
        <w:tc>
          <w:tcPr>
            <w:tcW w:w="25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592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职务/职称</w:t>
            </w:r>
          </w:p>
        </w:tc>
        <w:tc>
          <w:tcPr>
            <w:tcW w:w="25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4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5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4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exact"/>
          <w:jc w:val="center"/>
        </w:trPr>
        <w:tc>
          <w:tcPr>
            <w:tcW w:w="1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熟悉专业</w:t>
            </w:r>
          </w:p>
        </w:tc>
        <w:tc>
          <w:tcPr>
            <w:tcW w:w="8214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□电子信息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□先进制造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44"/>
                <w:sz w:val="28"/>
                <w:szCs w:val="28"/>
              </w:rPr>
              <w:t>航空航天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4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□现代交通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4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44"/>
                <w:sz w:val="28"/>
                <w:szCs w:val="28"/>
              </w:rPr>
              <w:t>生物医药与医疗器械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□新材料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44"/>
                <w:sz w:val="28"/>
                <w:szCs w:val="28"/>
              </w:rPr>
              <w:t>新能源与节能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44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44"/>
                <w:sz w:val="28"/>
                <w:szCs w:val="28"/>
              </w:rPr>
              <w:t>环境保护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44"/>
                <w:sz w:val="28"/>
                <w:szCs w:val="28"/>
              </w:rPr>
              <w:t>地球、空间与海洋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44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44"/>
                <w:sz w:val="28"/>
                <w:szCs w:val="28"/>
              </w:rPr>
              <w:t xml:space="preserve">核应用技术 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44"/>
                <w:sz w:val="28"/>
                <w:szCs w:val="28"/>
              </w:rPr>
              <w:t xml:space="preserve">现代农业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44"/>
                <w:sz w:val="28"/>
                <w:szCs w:val="28"/>
              </w:rPr>
              <w:t>文化创意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□其他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  <w:jc w:val="center"/>
        </w:trPr>
        <w:tc>
          <w:tcPr>
            <w:tcW w:w="1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业务特长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可多选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8214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□企业管理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□法律服务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□财务服务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□市场开拓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□技术研发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□政策咨询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□投融资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9979" w:type="dxa"/>
            <w:gridSpan w:val="6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个人简历</w:t>
            </w:r>
          </w:p>
          <w:p>
            <w:pPr>
              <w:spacing w:line="560" w:lineRule="exact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9979" w:type="dxa"/>
            <w:gridSpan w:val="6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辅导企业情况</w:t>
            </w:r>
          </w:p>
          <w:p>
            <w:pPr>
              <w:spacing w:line="560" w:lineRule="exact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导师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签名：                     推荐机构（盖章）：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推荐汇总表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285"/>
        <w:gridCol w:w="3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导师姓名</w:t>
            </w: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推荐机构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61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3676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仿宋" w:hAnsi="仿宋" w:eastAsia="仿宋"/>
          <w:color w:val="auto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推荐单位（盖章）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2022年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000000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pStyle w:val="20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F9"/>
    <w:rsid w:val="00034B97"/>
    <w:rsid w:val="00182AA2"/>
    <w:rsid w:val="002612CD"/>
    <w:rsid w:val="00377E72"/>
    <w:rsid w:val="004A1969"/>
    <w:rsid w:val="004A25D2"/>
    <w:rsid w:val="006E2593"/>
    <w:rsid w:val="007024CD"/>
    <w:rsid w:val="008872E3"/>
    <w:rsid w:val="0090143C"/>
    <w:rsid w:val="009C3EC6"/>
    <w:rsid w:val="00A96E7C"/>
    <w:rsid w:val="00B545BD"/>
    <w:rsid w:val="00D213F9"/>
    <w:rsid w:val="00D24FD0"/>
    <w:rsid w:val="00E55BCF"/>
    <w:rsid w:val="00ED48A7"/>
    <w:rsid w:val="00F27B69"/>
    <w:rsid w:val="00F61F8F"/>
    <w:rsid w:val="00FD6AC0"/>
    <w:rsid w:val="02D128D3"/>
    <w:rsid w:val="08950720"/>
    <w:rsid w:val="0ADB73E4"/>
    <w:rsid w:val="0E1F098D"/>
    <w:rsid w:val="103F5E79"/>
    <w:rsid w:val="1566381D"/>
    <w:rsid w:val="17845302"/>
    <w:rsid w:val="181D0347"/>
    <w:rsid w:val="18F33DFD"/>
    <w:rsid w:val="1D6929D4"/>
    <w:rsid w:val="1FAA2FF3"/>
    <w:rsid w:val="21667176"/>
    <w:rsid w:val="21930CF1"/>
    <w:rsid w:val="233E7326"/>
    <w:rsid w:val="244B05B3"/>
    <w:rsid w:val="2C9110DD"/>
    <w:rsid w:val="3061238B"/>
    <w:rsid w:val="314F3BD0"/>
    <w:rsid w:val="3F346539"/>
    <w:rsid w:val="40A22D87"/>
    <w:rsid w:val="450E0CE1"/>
    <w:rsid w:val="469B2F89"/>
    <w:rsid w:val="481D65D8"/>
    <w:rsid w:val="48A87FAC"/>
    <w:rsid w:val="499F0106"/>
    <w:rsid w:val="4A3277A7"/>
    <w:rsid w:val="4AE645B2"/>
    <w:rsid w:val="4B3B30F0"/>
    <w:rsid w:val="51DD0A5C"/>
    <w:rsid w:val="5A5E3661"/>
    <w:rsid w:val="5CF9053B"/>
    <w:rsid w:val="62CD4BD7"/>
    <w:rsid w:val="6A1E691F"/>
    <w:rsid w:val="6B5F1ACF"/>
    <w:rsid w:val="6EE93DA4"/>
    <w:rsid w:val="70CD602B"/>
    <w:rsid w:val="71F57DD8"/>
    <w:rsid w:val="74A34D74"/>
    <w:rsid w:val="75841785"/>
    <w:rsid w:val="7E02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默认段落字体1"/>
    <w:semiHidden/>
    <w:qFormat/>
    <w:uiPriority w:val="0"/>
  </w:style>
  <w:style w:type="table" w:customStyle="1" w:styleId="8">
    <w:name w:val="普通表格1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日期1"/>
    <w:basedOn w:val="1"/>
    <w:link w:val="10"/>
    <w:qFormat/>
    <w:uiPriority w:val="0"/>
    <w:pPr>
      <w:ind w:left="100" w:leftChars="2500"/>
    </w:pPr>
    <w:rPr>
      <w:kern w:val="0"/>
      <w:sz w:val="20"/>
      <w:szCs w:val="20"/>
      <w:lang w:eastAsia="en-US"/>
    </w:rPr>
  </w:style>
  <w:style w:type="character" w:customStyle="1" w:styleId="10">
    <w:name w:val="日期 Char"/>
    <w:link w:val="9"/>
    <w:semiHidden/>
    <w:qFormat/>
    <w:uiPriority w:val="0"/>
  </w:style>
  <w:style w:type="paragraph" w:customStyle="1" w:styleId="11">
    <w:name w:val="批注框文本1"/>
    <w:basedOn w:val="1"/>
    <w:link w:val="12"/>
    <w:semiHidden/>
    <w:qFormat/>
    <w:uiPriority w:val="0"/>
    <w:rPr>
      <w:kern w:val="0"/>
      <w:sz w:val="2"/>
      <w:szCs w:val="20"/>
      <w:lang w:eastAsia="en-US"/>
    </w:rPr>
  </w:style>
  <w:style w:type="character" w:customStyle="1" w:styleId="12">
    <w:name w:val="批注框文本 Char"/>
    <w:link w:val="11"/>
    <w:semiHidden/>
    <w:qFormat/>
    <w:uiPriority w:val="0"/>
    <w:rPr>
      <w:sz w:val="2"/>
    </w:rPr>
  </w:style>
  <w:style w:type="paragraph" w:customStyle="1" w:styleId="13">
    <w:name w:val="页脚1"/>
    <w:basedOn w:val="1"/>
    <w:link w:val="14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eastAsia="en-US"/>
    </w:rPr>
  </w:style>
  <w:style w:type="character" w:customStyle="1" w:styleId="14">
    <w:name w:val="页脚 Char"/>
    <w:link w:val="13"/>
    <w:semiHidden/>
    <w:qFormat/>
    <w:uiPriority w:val="0"/>
    <w:rPr>
      <w:sz w:val="18"/>
      <w:szCs w:val="18"/>
    </w:rPr>
  </w:style>
  <w:style w:type="paragraph" w:customStyle="1" w:styleId="15">
    <w:name w:val="页眉1"/>
    <w:basedOn w:val="1"/>
    <w:link w:val="16"/>
    <w:semiHidden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eastAsia="en-US"/>
    </w:rPr>
  </w:style>
  <w:style w:type="character" w:customStyle="1" w:styleId="16">
    <w:name w:val="页眉 Char"/>
    <w:link w:val="15"/>
    <w:semiHidden/>
    <w:qFormat/>
    <w:uiPriority w:val="0"/>
    <w:rPr>
      <w:sz w:val="18"/>
      <w:szCs w:val="18"/>
    </w:rPr>
  </w:style>
  <w:style w:type="paragraph" w:customStyle="1" w:styleId="17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18">
    <w:name w:val="超链接1"/>
    <w:basedOn w:val="7"/>
    <w:qFormat/>
    <w:uiPriority w:val="0"/>
    <w:rPr>
      <w:color w:val="0000FF"/>
      <w:u w:val="single"/>
    </w:rPr>
  </w:style>
  <w:style w:type="paragraph" w:customStyle="1" w:styleId="19">
    <w:name w:val="Default Paragraph Font Para Char"/>
    <w:basedOn w:val="1"/>
    <w:qFormat/>
    <w:uiPriority w:val="0"/>
    <w:pPr>
      <w:spacing w:after="160" w:line="40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0">
    <w:name w:val="Char Char1"/>
    <w:basedOn w:val="1"/>
    <w:qFormat/>
    <w:uiPriority w:val="0"/>
    <w:pPr>
      <w:numPr>
        <w:ilvl w:val="0"/>
        <w:numId w:val="1"/>
      </w:numPr>
      <w:tabs>
        <w:tab w:val="clear" w:pos="720"/>
      </w:tabs>
    </w:pPr>
    <w:rPr>
      <w:rFonts w:ascii="Times New Roman" w:hAnsi="Times New Roman"/>
      <w:szCs w:val="20"/>
    </w:rPr>
  </w:style>
  <w:style w:type="character" w:customStyle="1" w:styleId="21">
    <w:name w:val="批注框文本 Char1"/>
    <w:basedOn w:val="6"/>
    <w:link w:val="2"/>
    <w:qFormat/>
    <w:uiPriority w:val="0"/>
    <w:rPr>
      <w:kern w:val="2"/>
      <w:sz w:val="18"/>
      <w:szCs w:val="18"/>
    </w:rPr>
  </w:style>
  <w:style w:type="character" w:customStyle="1" w:styleId="22">
    <w:name w:val="页眉 Char1"/>
    <w:basedOn w:val="6"/>
    <w:link w:val="4"/>
    <w:qFormat/>
    <w:uiPriority w:val="0"/>
    <w:rPr>
      <w:kern w:val="2"/>
      <w:sz w:val="18"/>
      <w:szCs w:val="18"/>
    </w:rPr>
  </w:style>
  <w:style w:type="character" w:customStyle="1" w:styleId="23">
    <w:name w:val="页脚 Char1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1503</Words>
  <Characters>1580</Characters>
  <Lines>19</Lines>
  <Paragraphs>5</Paragraphs>
  <TotalTime>33</TotalTime>
  <ScaleCrop>false</ScaleCrop>
  <LinksUpToDate>false</LinksUpToDate>
  <CharactersWithSpaces>1680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2022-12-05T03:24:00Z</dcterms:created>
  <dc:creator>hp</dc:creator>
  <cp:lastModifiedBy>zz洲</cp:lastModifiedBy>
  <cp:lastPrinted>2022-12-19T02:35:00Z</cp:lastPrinted>
  <dcterms:modified xsi:type="dcterms:W3CDTF">2022-12-19T07:08:53Z</dcterms:modified>
  <dc:title>福建省科学技术厅关于加强培育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536D8F8D7DEB4910ABD52D8CF64AF801</vt:lpwstr>
  </property>
</Properties>
</file>