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Times New Roman"/>
          <w:sz w:val="36"/>
          <w:szCs w:val="36"/>
        </w:rPr>
      </w:pPr>
    </w:p>
    <w:p>
      <w:pPr>
        <w:spacing w:line="560" w:lineRule="exact"/>
        <w:jc w:val="center"/>
        <w:rPr>
          <w:rFonts w:ascii="方正小标宋简体" w:hAnsi="宋体" w:eastAsia="方正小标宋简体" w:cs="Times New Roman"/>
          <w:sz w:val="36"/>
          <w:szCs w:val="36"/>
        </w:rPr>
      </w:pPr>
    </w:p>
    <w:p>
      <w:pPr>
        <w:spacing w:line="560" w:lineRule="exact"/>
        <w:ind w:firstLine="5120" w:firstLineChars="1600"/>
        <w:rPr>
          <w:rFonts w:ascii="仿宋_GB2312" w:hAnsi="宋体"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闽科专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spacing w:line="560" w:lineRule="exact"/>
        <w:jc w:val="center"/>
        <w:rPr>
          <w:rFonts w:ascii="方正小标宋简体" w:hAnsi="宋体" w:eastAsia="方正小标宋简体" w:cs="Times New Roman"/>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福建省科学技术厅关于开展第</w:t>
      </w:r>
      <w:r>
        <w:rPr>
          <w:rFonts w:hint="eastAsia" w:ascii="方正小标宋_GBK" w:hAnsi="方正小标宋_GBK" w:eastAsia="方正小标宋_GBK" w:cs="方正小标宋_GBK"/>
          <w:sz w:val="44"/>
          <w:szCs w:val="44"/>
          <w:lang w:eastAsia="zh-CN"/>
        </w:rPr>
        <w:t>五</w:t>
      </w:r>
      <w:r>
        <w:rPr>
          <w:rFonts w:hint="eastAsia" w:ascii="方正小标宋_GBK" w:hAnsi="方正小标宋_GBK" w:eastAsia="方正小标宋_GBK" w:cs="方正小标宋_GBK"/>
          <w:sz w:val="44"/>
          <w:szCs w:val="44"/>
        </w:rPr>
        <w:t>批</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省“创业之星”“创新之星”人才</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遴选工作的通知</w:t>
      </w:r>
    </w:p>
    <w:p>
      <w:pPr>
        <w:spacing w:line="560" w:lineRule="exact"/>
        <w:jc w:val="center"/>
        <w:rPr>
          <w:rFonts w:ascii="宋体" w:cs="Times New Roman"/>
          <w:b/>
          <w:bCs/>
          <w:sz w:val="44"/>
          <w:szCs w:val="44"/>
        </w:rPr>
      </w:pPr>
    </w:p>
    <w:p>
      <w:pPr>
        <w:spacing w:line="56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各设区市科技局，平潭综合实验区经济发展局，省直有关部门，有关高等院校、科研院所，中央驻闽有关单位：</w:t>
      </w:r>
    </w:p>
    <w:p>
      <w:pPr>
        <w:spacing w:line="560" w:lineRule="exact"/>
        <w:rPr>
          <w:rFonts w:ascii="仿宋_GB2312" w:hAnsi="仿宋_GB2312" w:eastAsia="仿宋_GB2312" w:cs="Times New Roman"/>
          <w:kern w:val="0"/>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按照</w:t>
      </w:r>
      <w:r>
        <w:rPr>
          <w:rFonts w:hint="eastAsia" w:ascii="仿宋_GB2312" w:hAnsi="仿宋_GB2312" w:eastAsia="仿宋_GB2312" w:cs="仿宋_GB2312"/>
          <w:sz w:val="32"/>
          <w:szCs w:val="32"/>
        </w:rPr>
        <w:t>《福建省“创业之星”“创新之星”人才遴选和支持办法（试行）》（闽委人才〔</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号）相关要求，根据省委人才工作领导小组工作部署</w:t>
      </w:r>
      <w:r>
        <w:rPr>
          <w:rFonts w:hint="eastAsia" w:ascii="仿宋_GB2312" w:hAnsi="仿宋_GB2312" w:eastAsia="仿宋_GB2312" w:cs="仿宋_GB2312"/>
          <w:kern w:val="0"/>
          <w:sz w:val="32"/>
          <w:szCs w:val="32"/>
        </w:rPr>
        <w:t>，现开展第</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sz w:val="32"/>
          <w:szCs w:val="32"/>
        </w:rPr>
        <w:t>批福建省“创业之星”“创新之星”人才遴选工作。有关事项如下</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黑体"/>
          <w:kern w:val="0"/>
          <w:sz w:val="32"/>
          <w:szCs w:val="32"/>
        </w:rPr>
        <w:t>一、遴选数量</w:t>
      </w:r>
    </w:p>
    <w:p>
      <w:pPr>
        <w:spacing w:line="560" w:lineRule="exact"/>
        <w:ind w:firstLine="645"/>
        <w:rPr>
          <w:rFonts w:ascii="仿宋_GB2312" w:hAnsi="仿宋_GB2312" w:eastAsia="仿宋_GB2312" w:cs="Times New Roman"/>
          <w:sz w:val="32"/>
          <w:szCs w:val="32"/>
        </w:rPr>
      </w:pPr>
      <w:r>
        <w:rPr>
          <w:rFonts w:hint="eastAsia" w:ascii="仿宋_GB2312" w:hAnsi="仿宋_GB2312" w:eastAsia="仿宋_GB2312" w:cs="仿宋_GB2312"/>
          <w:sz w:val="32"/>
          <w:szCs w:val="32"/>
        </w:rPr>
        <w:t>遴选“创业之星”“创新之星”人才共</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名左右</w:t>
      </w:r>
      <w:r>
        <w:rPr>
          <w:rFonts w:hint="eastAsia" w:ascii="仿宋_GB2312" w:hAnsi="仿宋_GB2312" w:eastAsia="仿宋_GB2312" w:cs="仿宋_GB2312"/>
          <w:sz w:val="32"/>
          <w:szCs w:val="32"/>
        </w:rPr>
        <w:t>。</w:t>
      </w:r>
    </w:p>
    <w:p>
      <w:pPr>
        <w:spacing w:line="560" w:lineRule="exact"/>
        <w:ind w:right="-105" w:rightChars="-50" w:firstLine="640" w:firstLineChars="200"/>
        <w:rPr>
          <w:rFonts w:ascii="黑体" w:hAnsi="黑体" w:eastAsia="黑体" w:cs="Times New Roman"/>
          <w:sz w:val="32"/>
          <w:szCs w:val="32"/>
        </w:rPr>
      </w:pPr>
      <w:r>
        <w:rPr>
          <w:rFonts w:hint="eastAsia" w:ascii="黑体" w:hAnsi="黑体" w:eastAsia="黑体" w:cs="黑体"/>
          <w:sz w:val="32"/>
          <w:szCs w:val="32"/>
        </w:rPr>
        <w:t>二、遴选条件</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福建省“创业之星”“创新之星”</w:t>
      </w:r>
      <w:r>
        <w:rPr>
          <w:rFonts w:hint="eastAsia" w:ascii="仿宋_GB2312" w:hAnsi="仿宋_GB2312" w:eastAsia="仿宋_GB2312" w:cs="仿宋_GB2312"/>
          <w:sz w:val="32"/>
          <w:szCs w:val="32"/>
          <w:lang w:eastAsia="zh-CN"/>
        </w:rPr>
        <w:t>申报对象</w:t>
      </w:r>
      <w:r>
        <w:rPr>
          <w:rFonts w:hint="eastAsia" w:ascii="仿宋_GB2312" w:hAnsi="仿宋_GB2312" w:eastAsia="仿宋_GB2312" w:cs="仿宋_GB2312"/>
          <w:sz w:val="32"/>
          <w:szCs w:val="32"/>
        </w:rPr>
        <w:t>不限国籍，</w:t>
      </w:r>
      <w:r>
        <w:rPr>
          <w:rFonts w:hint="eastAsia" w:ascii="仿宋_GB2312" w:hAnsi="仿宋_GB2312" w:eastAsia="仿宋_GB2312" w:cs="仿宋_GB2312"/>
          <w:sz w:val="32"/>
          <w:szCs w:val="32"/>
          <w:lang w:eastAsia="zh-CN"/>
        </w:rPr>
        <w:t>应遵守中华人民共和国宪法和法律法规，</w:t>
      </w:r>
      <w:r>
        <w:rPr>
          <w:rFonts w:hint="eastAsia" w:ascii="仿宋_GB2312" w:hAnsi="仿宋_GB2312" w:eastAsia="仿宋_GB2312" w:cs="仿宋_GB2312"/>
          <w:sz w:val="32"/>
          <w:szCs w:val="32"/>
        </w:rPr>
        <w:t>拥护中国共产党的领导</w:t>
      </w:r>
      <w:r>
        <w:rPr>
          <w:rFonts w:hint="eastAsia" w:ascii="仿宋_GB2312" w:hAnsi="仿宋_GB2312" w:eastAsia="仿宋_GB2312" w:cs="仿宋_GB2312"/>
          <w:sz w:val="32"/>
          <w:szCs w:val="32"/>
          <w:lang w:eastAsia="zh-CN"/>
        </w:rPr>
        <w:t>和中国特色社会主义制度</w:t>
      </w:r>
      <w:r>
        <w:rPr>
          <w:rFonts w:hint="eastAsia" w:ascii="仿宋_GB2312" w:hAnsi="仿宋_GB2312" w:eastAsia="仿宋_GB2312" w:cs="仿宋_GB2312"/>
          <w:sz w:val="32"/>
          <w:szCs w:val="32"/>
        </w:rPr>
        <w:t>，坚持科学精神，恪守职业道德。</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ascii="楷体" w:hAnsi="楷体" w:eastAsia="楷体" w:cs="楷体"/>
          <w:sz w:val="32"/>
          <w:szCs w:val="32"/>
        </w:rPr>
        <w:t xml:space="preserve"> </w:t>
      </w:r>
      <w:r>
        <w:rPr>
          <w:rFonts w:hint="eastAsia" w:ascii="楷体" w:hAnsi="楷体" w:eastAsia="楷体" w:cs="楷体"/>
          <w:sz w:val="32"/>
          <w:szCs w:val="32"/>
        </w:rPr>
        <w:t>（一）福建省“创业之星”申报条件</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企业的主要创办人，</w:t>
      </w:r>
      <w:r>
        <w:rPr>
          <w:rFonts w:hint="eastAsia" w:ascii="仿宋_GB2312" w:hAnsi="仿宋_GB2312" w:eastAsia="仿宋_GB2312" w:cs="仿宋_GB2312"/>
          <w:spacing w:val="-4"/>
          <w:sz w:val="32"/>
          <w:szCs w:val="32"/>
        </w:rPr>
        <w:t>担任企业法人代表、董事长、总裁或技术总负责人之一，自有资金（含技术入股）或跟进的风险投资占创业投资</w:t>
      </w:r>
      <w:r>
        <w:rPr>
          <w:rFonts w:ascii="仿宋_GB2312" w:hAnsi="仿宋_GB2312" w:eastAsia="仿宋_GB2312" w:cs="仿宋_GB2312"/>
          <w:spacing w:val="-4"/>
          <w:sz w:val="32"/>
          <w:szCs w:val="32"/>
        </w:rPr>
        <w:t>30%</w:t>
      </w:r>
      <w:r>
        <w:rPr>
          <w:rFonts w:hint="eastAsia" w:ascii="仿宋_GB2312" w:hAnsi="仿宋_GB2312" w:eastAsia="仿宋_GB2312" w:cs="仿宋_GB2312"/>
          <w:spacing w:val="-4"/>
          <w:sz w:val="32"/>
          <w:szCs w:val="32"/>
        </w:rPr>
        <w:t>以上</w:t>
      </w:r>
      <w:r>
        <w:rPr>
          <w:rFonts w:hint="eastAsia" w:ascii="仿宋_GB2312" w:hAnsi="仿宋_GB2312" w:eastAsia="仿宋_GB2312" w:cs="仿宋_GB2312"/>
          <w:sz w:val="32"/>
          <w:szCs w:val="32"/>
        </w:rPr>
        <w:t>。</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有较强的创新意识、市场开拓能力和经营管理能力，具备较强的团队组织能力；所带领的创新创业团队包含技术研发、生产管理、市场开发等方面人才，固定成员不少于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所创办的企业在福建省内注册</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年以上，依法经营，无不良记录，具有良好的经营业绩、纳税记录和行业竞争力，原则上应已完成一轮以上融资。创办</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年以上的企业，近</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年累计净利润不少于</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年累计研发投入占同期销售收入的比例不低于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所创办企业须拥有自主知识产权的核心技术，开发的产品技术先进或服务模式创新，已有产品投放市场且有较强竞争力和较大市场份额；企业具有良好的预期成长性，能够引领省内某个领域快速发展。</w:t>
      </w:r>
    </w:p>
    <w:p>
      <w:pPr>
        <w:spacing w:line="560" w:lineRule="exact"/>
        <w:ind w:firstLine="64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重点支持依靠科学研究、技术创新并成功开展成果转移转化的科技型创业人才，特别是高校院所科研人员离岗创业人才。</w:t>
      </w:r>
    </w:p>
    <w:p>
      <w:pPr>
        <w:spacing w:line="560" w:lineRule="exact"/>
        <w:rPr>
          <w:rFonts w:ascii="楷体" w:hAnsi="楷体" w:eastAsia="楷体" w:cs="Times New Roman"/>
          <w:sz w:val="32"/>
          <w:szCs w:val="32"/>
        </w:rPr>
      </w:pPr>
      <w:r>
        <w:rPr>
          <w:rFonts w:ascii="仿宋_GB2312" w:hAnsi="仿宋_GB2312" w:eastAsia="仿宋_GB2312" w:cs="仿宋_GB2312"/>
          <w:sz w:val="32"/>
          <w:szCs w:val="32"/>
        </w:rPr>
        <w:t xml:space="preserve">    </w:t>
      </w:r>
      <w:r>
        <w:rPr>
          <w:rFonts w:hint="eastAsia" w:ascii="楷体" w:hAnsi="楷体" w:eastAsia="楷体" w:cs="楷体"/>
          <w:sz w:val="32"/>
          <w:szCs w:val="32"/>
        </w:rPr>
        <w:t>（二）福建省“创新之星”申报条件</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年龄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周岁以下（</w:t>
      </w:r>
      <w:r>
        <w:rPr>
          <w:rFonts w:ascii="仿宋_GB2312" w:hAnsi="仿宋_GB2312" w:eastAsia="仿宋_GB2312" w:cs="仿宋_GB2312"/>
          <w:sz w:val="32"/>
          <w:szCs w:val="32"/>
        </w:rPr>
        <w:t>197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日后出生）。受聘于省内企业（含在闽央企）工作满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年，并与企业签订</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年以上、每年在闽工作时间不低于</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个月的劳动合同；或在省内有关高校、科研院所全职工作满</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年以上（</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日前入职）。</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具备较强创新能力，在原始创新、集成创新、引进消化吸收再创新和科技成果转化等方面业绩突出，在前沿科技、交叉学科、战略性新兴产业领域取得较高水平创新成果，具有较大创新发展潜力。</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具备较强的团队组织能力，所带领的创新团队拥有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名以上相对固定的团队成员，研究开发的项目未来成长性良好。</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eastAsia="zh-CN"/>
        </w:rPr>
        <w:t>“四个面向”</w:t>
      </w:r>
      <w:r>
        <w:rPr>
          <w:rFonts w:hint="eastAsia" w:ascii="仿宋_GB2312" w:hAnsi="仿宋_GB2312" w:eastAsia="仿宋_GB2312" w:cs="仿宋_GB2312"/>
          <w:sz w:val="32"/>
          <w:szCs w:val="32"/>
          <w:lang w:val="en-US" w:eastAsia="zh-CN"/>
        </w:rPr>
        <w:t>和高水平科技自立自强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重点支持</w:t>
      </w:r>
      <w:r>
        <w:rPr>
          <w:rFonts w:hint="eastAsia" w:ascii="仿宋_GB2312" w:hAnsi="仿宋_GB2312" w:eastAsia="仿宋_GB2312" w:cs="仿宋_GB2312"/>
          <w:sz w:val="32"/>
          <w:szCs w:val="32"/>
          <w:lang w:eastAsia="zh-CN"/>
        </w:rPr>
        <w:t>集成电路、人工智能、生物医药、新能源、新材料等</w:t>
      </w:r>
      <w:r>
        <w:rPr>
          <w:rFonts w:hint="eastAsia" w:ascii="仿宋_GB2312" w:hAnsi="仿宋_GB2312" w:eastAsia="仿宋_GB2312" w:cs="仿宋_GB2312"/>
          <w:sz w:val="32"/>
          <w:szCs w:val="32"/>
        </w:rPr>
        <w:t>前沿</w:t>
      </w:r>
      <w:r>
        <w:rPr>
          <w:rFonts w:hint="eastAsia" w:ascii="仿宋_GB2312" w:hAnsi="仿宋_GB2312" w:eastAsia="仿宋_GB2312" w:cs="仿宋_GB2312"/>
          <w:sz w:val="32"/>
          <w:szCs w:val="32"/>
          <w:lang w:eastAsia="zh-CN"/>
        </w:rPr>
        <w:t>领域和</w:t>
      </w:r>
      <w:r>
        <w:rPr>
          <w:rFonts w:hint="eastAsia" w:ascii="仿宋_GB2312" w:hAnsi="仿宋_GB2312" w:eastAsia="仿宋_GB2312" w:cs="仿宋_GB2312"/>
          <w:sz w:val="32"/>
          <w:szCs w:val="32"/>
        </w:rPr>
        <w:t>解决“卡脖子”</w:t>
      </w:r>
      <w:r>
        <w:rPr>
          <w:rFonts w:hint="eastAsia" w:ascii="仿宋_GB2312" w:hAnsi="仿宋_GB2312" w:eastAsia="仿宋_GB2312" w:cs="仿宋_GB2312"/>
          <w:sz w:val="32"/>
          <w:szCs w:val="32"/>
          <w:lang w:eastAsia="zh-CN"/>
        </w:rPr>
        <w:t>关键核心</w:t>
      </w:r>
      <w:r>
        <w:rPr>
          <w:rFonts w:hint="eastAsia" w:ascii="仿宋_GB2312" w:hAnsi="仿宋_GB2312" w:eastAsia="仿宋_GB2312" w:cs="仿宋_GB2312"/>
          <w:sz w:val="32"/>
          <w:szCs w:val="32"/>
        </w:rPr>
        <w:t>技术问题的紧缺人才。</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国家各重要人才计划入选者，已认定为福建省高层次人才（特级人才、</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类人才），以及省特级后备人才、省引才“百人计划”、省特支人才“双百计划”、省杰出科技人才、省引进台湾高层次人才“百人计划”、省“雏鹰计划”青年拔尖人才等人才计划的入选者不再参与申报。</w:t>
      </w:r>
    </w:p>
    <w:p>
      <w:pPr>
        <w:widowControl/>
        <w:snapToGrid w:val="0"/>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三、申报推荐</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Times New Roman"/>
          <w:sz w:val="32"/>
          <w:szCs w:val="32"/>
          <w:u w:val="single"/>
          <w:lang w:val="en-US"/>
        </w:rPr>
      </w:pPr>
      <w:r>
        <w:rPr>
          <w:rFonts w:hint="eastAsia" w:ascii="仿宋_GB2312" w:hAnsi="仿宋_GB2312" w:eastAsia="仿宋_GB2312" w:cs="仿宋_GB2312"/>
          <w:sz w:val="32"/>
          <w:szCs w:val="32"/>
        </w:rPr>
        <w:t>设区市科技局、平潭综合实验区经济发展局负责本地区企业、高校及科研院所申报事项的审核推荐，推荐名额各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，原则上来自企业的创新人才不少于</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；省直有关单位（部门）、中央驻闽有关单位分别负责所属企事业单位申报事项的审核推荐，推荐名额各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名；省一流大学建设高校、一流学科建设高校直接负责本单位人员申报事项的审核推荐，推荐名额各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名；省创新实验室推荐名额各</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名，由所在地设区市科技局负责审核推荐。</w:t>
      </w:r>
      <w:r>
        <w:rPr>
          <w:rFonts w:hint="eastAsia" w:ascii="仿宋_GB2312" w:hAnsi="仿宋_GB2312" w:eastAsia="仿宋_GB2312" w:cs="仿宋_GB2312"/>
          <w:snapToGrid/>
          <w:spacing w:val="0"/>
          <w:kern w:val="2"/>
          <w:sz w:val="32"/>
          <w:szCs w:val="32"/>
        </w:rPr>
        <w:t>加大对</w:t>
      </w:r>
      <w:r>
        <w:rPr>
          <w:rFonts w:hint="eastAsia" w:ascii="仿宋_GB2312" w:hAnsi="仿宋_GB2312" w:eastAsia="仿宋_GB2312" w:cs="仿宋_GB2312"/>
          <w:snapToGrid/>
          <w:spacing w:val="0"/>
          <w:kern w:val="2"/>
          <w:sz w:val="32"/>
          <w:szCs w:val="32"/>
          <w:lang w:val="en-US" w:eastAsia="zh-CN"/>
        </w:rPr>
        <w:t>集成电路</w:t>
      </w:r>
      <w:r>
        <w:rPr>
          <w:rFonts w:hint="eastAsia" w:ascii="仿宋_GB2312" w:hAnsi="仿宋_GB2312" w:eastAsia="仿宋_GB2312" w:cs="仿宋_GB2312"/>
          <w:snapToGrid/>
          <w:spacing w:val="0"/>
          <w:kern w:val="2"/>
          <w:sz w:val="32"/>
          <w:szCs w:val="32"/>
          <w:lang w:eastAsia="zh-CN"/>
        </w:rPr>
        <w:t>人才</w:t>
      </w:r>
      <w:r>
        <w:rPr>
          <w:rFonts w:hint="eastAsia" w:ascii="仿宋_GB2312" w:hAnsi="仿宋_GB2312" w:eastAsia="仿宋_GB2312" w:cs="仿宋_GB2312"/>
          <w:snapToGrid/>
          <w:spacing w:val="0"/>
          <w:kern w:val="2"/>
          <w:sz w:val="32"/>
          <w:szCs w:val="32"/>
        </w:rPr>
        <w:t>的支持，不限制申报名额。</w:t>
      </w:r>
      <w:r>
        <w:rPr>
          <w:rFonts w:hint="eastAsia" w:ascii="仿宋_GB2312" w:hAnsi="仿宋_GB2312" w:eastAsia="仿宋_GB2312" w:cs="仿宋_GB2312"/>
          <w:snapToGrid/>
          <w:spacing w:val="0"/>
          <w:kern w:val="2"/>
          <w:sz w:val="32"/>
          <w:szCs w:val="32"/>
          <w:lang w:eastAsia="zh-CN"/>
        </w:rPr>
        <w:t>“</w:t>
      </w:r>
      <w:r>
        <w:rPr>
          <w:rFonts w:hint="eastAsia" w:ascii="仿宋_GB2312" w:hAnsi="仿宋_GB2312" w:eastAsia="仿宋_GB2312" w:cs="仿宋_GB2312"/>
          <w:snapToGrid/>
          <w:spacing w:val="0"/>
          <w:kern w:val="2"/>
          <w:sz w:val="32"/>
          <w:szCs w:val="32"/>
          <w:lang w:val="en-US" w:eastAsia="zh-CN"/>
        </w:rPr>
        <w:t>集成电路</w:t>
      </w:r>
      <w:r>
        <w:rPr>
          <w:rFonts w:hint="eastAsia" w:ascii="仿宋_GB2312" w:hAnsi="仿宋_GB2312" w:eastAsia="仿宋_GB2312" w:cs="仿宋_GB2312"/>
          <w:snapToGrid/>
          <w:spacing w:val="0"/>
          <w:kern w:val="2"/>
          <w:sz w:val="32"/>
          <w:szCs w:val="32"/>
          <w:lang w:eastAsia="zh-CN"/>
        </w:rPr>
        <w:t>人才”指直接从事集成电路设计、材料、装备、制造、零部件、封装、测试研究开发和工程技术工作的人才。</w:t>
      </w:r>
    </w:p>
    <w:p>
      <w:pPr>
        <w:spacing w:line="560" w:lineRule="exact"/>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已推荐申报第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批省“雏鹰计划”青年拔尖人才的申报对象不再推荐申报本批省“创业之星”“创新之星”人才。</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申报推荐工作全部通过福建省科技厅人才综合业务管理平台（</w:t>
      </w:r>
      <w:r>
        <w:rPr>
          <w:rFonts w:ascii="仿宋_GB2312" w:hAnsi="仿宋_GB2312" w:eastAsia="仿宋_GB2312" w:cs="仿宋_GB2312"/>
          <w:sz w:val="32"/>
          <w:szCs w:val="32"/>
        </w:rPr>
        <w:t>http://kjjl.kjt.fujian.gov.cn/rcps</w:t>
      </w:r>
      <w:r>
        <w:rPr>
          <w:rFonts w:hint="eastAsia" w:ascii="仿宋_GB2312" w:hAnsi="仿宋_GB2312" w:eastAsia="仿宋_GB2312" w:cs="仿宋_GB2312"/>
          <w:sz w:val="32"/>
          <w:szCs w:val="32"/>
        </w:rPr>
        <w:t>，以下简称“平台”）在线办理。</w:t>
      </w:r>
    </w:p>
    <w:p>
      <w:pPr>
        <w:spacing w:line="560" w:lineRule="exact"/>
        <w:ind w:right="-105" w:rightChars="-50" w:firstLine="643" w:firstLineChars="200"/>
        <w:rPr>
          <w:rFonts w:ascii="仿宋_GB2312" w:hAnsi="仿宋_GB2312" w:eastAsia="仿宋_GB2312" w:cs="Times New Roman"/>
          <w:b/>
          <w:bCs/>
          <w:kern w:val="0"/>
          <w:sz w:val="32"/>
          <w:szCs w:val="32"/>
        </w:rPr>
      </w:pPr>
      <w:r>
        <w:rPr>
          <w:rFonts w:hint="eastAsia" w:ascii="楷体" w:hAnsi="楷体" w:eastAsia="楷体" w:cs="楷体"/>
          <w:b/>
          <w:bCs/>
          <w:kern w:val="0"/>
          <w:sz w:val="32"/>
          <w:szCs w:val="32"/>
        </w:rPr>
        <w:t>（一）账号注册与使用</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用人单位通过省科技厅基础支撑管理系统（平台首页链接）注册用人单位账号，由用人单位账号分配申报人账号。如已在省科技计划项目管理系统或省科技奖励管理信息系统注册过的申报用户，可直接使用已有账号密码登录本平台。</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审核推荐单位平台账号与前</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批推荐申报时相同（后缀为“</w:t>
      </w:r>
      <w:r>
        <w:rPr>
          <w:rFonts w:ascii="仿宋_GB2312" w:hAnsi="仿宋_GB2312" w:eastAsia="仿宋_GB2312" w:cs="仿宋_GB2312"/>
          <w:sz w:val="32"/>
          <w:szCs w:val="32"/>
        </w:rPr>
        <w:t>-sc</w:t>
      </w:r>
      <w:r>
        <w:rPr>
          <w:rFonts w:hint="eastAsia" w:ascii="仿宋_GB2312" w:hAnsi="仿宋_GB2312" w:eastAsia="仿宋_GB2312" w:cs="仿宋_GB2312"/>
          <w:sz w:val="32"/>
          <w:szCs w:val="32"/>
        </w:rPr>
        <w:t>”）。尚未向我厅申领的，请来函告知单位名称、单位经办部门（处、科室等）名称、经办部门负责人姓名、经办人员姓名及联系方式等，加盖单位公章后扫描发送到</w:t>
      </w:r>
      <w:r>
        <w:rPr>
          <w:rFonts w:ascii="仿宋_GB2312" w:hAnsi="仿宋_GB2312" w:eastAsia="仿宋_GB2312" w:cs="仿宋_GB2312"/>
          <w:sz w:val="32"/>
          <w:szCs w:val="32"/>
        </w:rPr>
        <w:t>sudy@kjt.fujian.gov.cn</w:t>
      </w:r>
      <w:r>
        <w:rPr>
          <w:rFonts w:hint="eastAsia" w:ascii="仿宋_GB2312" w:hAnsi="仿宋_GB2312" w:eastAsia="仿宋_GB2312" w:cs="仿宋_GB2312"/>
          <w:sz w:val="32"/>
          <w:szCs w:val="32"/>
        </w:rPr>
        <w:t>邮箱，我厅将配置后安排分发。收到账号请及时登录平台修改初始密码并妥为保管。</w:t>
      </w:r>
    </w:p>
    <w:p>
      <w:pPr>
        <w:spacing w:line="560" w:lineRule="exact"/>
        <w:ind w:right="-105" w:rightChars="-50" w:firstLine="643" w:firstLineChars="200"/>
        <w:rPr>
          <w:rFonts w:ascii="仿宋_GB2312" w:hAnsi="仿宋_GB2312" w:eastAsia="仿宋_GB2312" w:cs="Times New Roman"/>
          <w:b/>
          <w:bCs/>
          <w:kern w:val="0"/>
          <w:sz w:val="32"/>
          <w:szCs w:val="32"/>
        </w:rPr>
      </w:pPr>
      <w:r>
        <w:rPr>
          <w:rFonts w:hint="eastAsia" w:ascii="楷体" w:hAnsi="楷体" w:eastAsia="楷体" w:cs="楷体"/>
          <w:b/>
          <w:bCs/>
          <w:kern w:val="0"/>
          <w:sz w:val="32"/>
          <w:szCs w:val="32"/>
        </w:rPr>
        <w:t>（二）在线申报及审核推荐</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申报人：经用人单位内部公示无异议后，凭单位管理员分配的申报用户账号登录平台系统，选择申报人才类别（“创业之星”或“创新之星”），准确选择审核推荐单位，填写申报表各页栏目并上传附件，阅读“承诺与审核意见”页内容，检查无误后，点“提交上一级审核”提交至用人单位。</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用人单位：凭注册的用人单位账号登录平台系统，对本单位申报人已提交的申报材料逐项核实，填写“用人单位基本情况”页，阅读“承诺与审核意见”页内容，填写用人单位意见，确认无误后，点“提交上一级审核”提交至申报人选择的审核推荐单位。提交后及时告知审核推荐单位审核。截止日期前如需退回修改，请直接点“审核退回”将退至申报人。</w:t>
      </w:r>
    </w:p>
    <w:p>
      <w:pPr>
        <w:spacing w:line="560"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审核推荐单位：凭省科技厅分配的账号登录平台，对相关用人单位已提交的申报材料进行审核，会同有关部门对申报人的综治情况进行把关，阅读“承诺与审核意见”页内容，确认无误后，点击提交推荐到省科技厅（截止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18:00</w:t>
      </w:r>
      <w:r>
        <w:rPr>
          <w:rFonts w:hint="eastAsia" w:ascii="仿宋_GB2312" w:hAnsi="仿宋_GB2312" w:eastAsia="仿宋_GB2312" w:cs="仿宋_GB2312"/>
          <w:sz w:val="32"/>
          <w:szCs w:val="32"/>
        </w:rPr>
        <w:t>）。凡被列为失信被执行人的企业及个人一律不得推荐。</w:t>
      </w:r>
    </w:p>
    <w:p>
      <w:pPr>
        <w:spacing w:line="560" w:lineRule="exact"/>
        <w:rPr>
          <w:rFonts w:ascii="仿宋_GB2312" w:hAnsi="仿宋_GB2312" w:eastAsia="仿宋_GB2312" w:cs="Times New Roman"/>
          <w:b/>
          <w:bCs/>
          <w:sz w:val="32"/>
          <w:szCs w:val="32"/>
        </w:rPr>
      </w:pPr>
      <w:r>
        <w:rPr>
          <w:rFonts w:ascii="仿宋_GB2312" w:hAnsi="仿宋_GB2312" w:eastAsia="仿宋_GB2312" w:cs="仿宋_GB2312"/>
          <w:sz w:val="32"/>
          <w:szCs w:val="32"/>
        </w:rPr>
        <w:t xml:space="preserve">  </w:t>
      </w:r>
      <w:r>
        <w:rPr>
          <w:rFonts w:ascii="楷体" w:hAnsi="楷体" w:eastAsia="楷体" w:cs="楷体"/>
          <w:sz w:val="32"/>
          <w:szCs w:val="32"/>
        </w:rPr>
        <w:t xml:space="preserve"> </w:t>
      </w:r>
      <w:r>
        <w:rPr>
          <w:rFonts w:hint="eastAsia" w:ascii="楷体" w:hAnsi="楷体" w:eastAsia="楷体" w:cs="楷体"/>
          <w:b/>
          <w:bCs/>
          <w:sz w:val="32"/>
          <w:szCs w:val="32"/>
        </w:rPr>
        <w:t>（三）纸质材料报送</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在线申报材料经逐级审核推荐提交到省科技厅后将自动获得受理号。申报人应在获得受理号后，及时在线生成并打印带有水印受理号的申报表，与附件材料合订一式</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份（须与平台内填报内容一致）。打印时可根据预览适当调整边距，双面打印，不要另加封面。</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纸质申报材料经申报人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审核推荐单位逐级审核签章后，由审核推荐单位汇总并出具推荐函（内容包括推荐人选姓名、申报类别、推荐过程简要情况以及对推荐人选综治审核情况、公示情况的说明），于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日前寄送达省科技厅。各设区市及平潭综合实验区推荐人选在上报前应与所在设区市委（平潭综合实验区党工委）人才办沟通。</w:t>
      </w:r>
    </w:p>
    <w:p>
      <w:pPr>
        <w:spacing w:line="560" w:lineRule="exact"/>
        <w:ind w:firstLine="640" w:firstLineChars="200"/>
        <w:rPr>
          <w:rFonts w:hint="default" w:ascii="仿宋_GB2312" w:hAnsi="仿宋_GB2312" w:eastAsia="仿宋_GB2312" w:cs="Times New Roman"/>
          <w:sz w:val="32"/>
          <w:szCs w:val="32"/>
          <w:lang w:val="en-US"/>
        </w:rPr>
      </w:pPr>
      <w:r>
        <w:rPr>
          <w:rFonts w:hint="eastAsia" w:ascii="仿宋_GB2312" w:hAnsi="仿宋_GB2312" w:eastAsia="仿宋_GB2312" w:cs="仿宋_GB2312"/>
          <w:sz w:val="32"/>
          <w:szCs w:val="32"/>
        </w:rPr>
        <w:t>申报材料不得涉密，不得失实造假。有弄虚作假、学术不端、违法违纪、失信等不良行为的，一经发现将撤销申报、入选资格，已获得的支持经费将追回。各</w:t>
      </w:r>
      <w:r>
        <w:rPr>
          <w:rFonts w:hint="eastAsia" w:ascii="仿宋_GB2312" w:hAnsi="仿宋_GB2312" w:eastAsia="仿宋_GB2312" w:cs="仿宋_GB2312"/>
          <w:sz w:val="32"/>
          <w:szCs w:val="32"/>
          <w:lang w:eastAsia="zh-CN"/>
        </w:rPr>
        <w:t>用人单位和</w:t>
      </w:r>
      <w:r>
        <w:rPr>
          <w:rFonts w:hint="eastAsia" w:ascii="仿宋_GB2312" w:hAnsi="仿宋_GB2312" w:eastAsia="仿宋_GB2312" w:cs="仿宋_GB2312"/>
          <w:sz w:val="32"/>
          <w:szCs w:val="32"/>
        </w:rPr>
        <w:t>审核推荐单位应从严把关，对申报材料真实性</w:t>
      </w:r>
      <w:r>
        <w:rPr>
          <w:rFonts w:hint="eastAsia" w:ascii="仿宋_GB2312" w:hAnsi="仿宋_GB2312" w:eastAsia="仿宋_GB2312" w:cs="仿宋_GB2312"/>
          <w:sz w:val="32"/>
          <w:szCs w:val="32"/>
          <w:lang w:eastAsia="zh-CN"/>
        </w:rPr>
        <w:t>完整性</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。我厅对申报审核情况视情予以通报</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四、联系方式</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福建省科学技术厅</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苏杜滢</w:t>
      </w:r>
      <w:r>
        <w:rPr>
          <w:rFonts w:ascii="仿宋_GB2312" w:hAnsi="仿宋_GB2312" w:eastAsia="仿宋_GB2312" w:cs="仿宋_GB2312"/>
          <w:sz w:val="32"/>
          <w:szCs w:val="32"/>
        </w:rPr>
        <w:t xml:space="preserve"> 0591-83517533</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平台系统操作咨询指导及技术支持：</w:t>
      </w:r>
    </w:p>
    <w:p>
      <w:pPr>
        <w:widowControl/>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0591-87882011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87862800</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申报材料寄送地址：</w:t>
      </w:r>
    </w:p>
    <w:p>
      <w:pPr>
        <w:widowControl/>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福州市北环西路</w:t>
      </w:r>
      <w:r>
        <w:rPr>
          <w:rFonts w:ascii="仿宋_GB2312" w:hAnsi="仿宋_GB2312" w:eastAsia="仿宋_GB2312" w:cs="仿宋_GB2312"/>
          <w:sz w:val="32"/>
          <w:szCs w:val="32"/>
        </w:rPr>
        <w:t>122</w:t>
      </w:r>
      <w:r>
        <w:rPr>
          <w:rFonts w:hint="eastAsia" w:ascii="仿宋_GB2312" w:hAnsi="仿宋_GB2312" w:eastAsia="仿宋_GB2312" w:cs="仿宋_GB2312"/>
          <w:sz w:val="32"/>
          <w:szCs w:val="32"/>
        </w:rPr>
        <w:t>号科技大厦</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层外专局（邮编</w:t>
      </w:r>
      <w:r>
        <w:rPr>
          <w:rFonts w:ascii="仿宋_GB2312" w:hAnsi="仿宋_GB2312" w:eastAsia="仿宋_GB2312" w:cs="仿宋_GB2312"/>
          <w:sz w:val="32"/>
          <w:szCs w:val="32"/>
        </w:rPr>
        <w:t>350003</w:t>
      </w:r>
      <w:r>
        <w:rPr>
          <w:rFonts w:hint="eastAsia" w:ascii="仿宋_GB2312" w:hAnsi="仿宋_GB2312" w:eastAsia="仿宋_GB2312" w:cs="仿宋_GB2312"/>
          <w:sz w:val="32"/>
          <w:szCs w:val="32"/>
        </w:rPr>
        <w:t>）</w:t>
      </w:r>
    </w:p>
    <w:p>
      <w:pPr>
        <w:widowControl/>
        <w:snapToGrid w:val="0"/>
        <w:spacing w:line="560" w:lineRule="exact"/>
        <w:ind w:firstLine="640" w:firstLineChars="200"/>
        <w:rPr>
          <w:rFonts w:ascii="仿宋_GB2312" w:hAnsi="仿宋_GB2312" w:eastAsia="仿宋_GB2312" w:cs="Times New Roman"/>
          <w:kern w:val="0"/>
          <w:sz w:val="32"/>
          <w:szCs w:val="32"/>
        </w:rPr>
      </w:pPr>
    </w:p>
    <w:p>
      <w:pPr>
        <w:widowControl/>
        <w:snapToGrid w:val="0"/>
        <w:spacing w:line="560" w:lineRule="exact"/>
        <w:ind w:firstLine="640" w:firstLineChars="200"/>
        <w:rPr>
          <w:rFonts w:ascii="仿宋_GB2312" w:hAnsi="仿宋_GB2312" w:eastAsia="仿宋_GB2312" w:cs="Times New Roman"/>
          <w:kern w:val="0"/>
          <w:sz w:val="32"/>
          <w:szCs w:val="32"/>
        </w:rPr>
      </w:pPr>
    </w:p>
    <w:p>
      <w:pPr>
        <w:widowControl/>
        <w:snapToGrid w:val="0"/>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福建省科学技术厅</w:t>
      </w:r>
      <w:r>
        <w:rPr>
          <w:rFonts w:ascii="仿宋_GB2312" w:hAnsi="仿宋_GB2312" w:eastAsia="仿宋_GB2312" w:cs="仿宋_GB2312"/>
          <w:kern w:val="0"/>
          <w:sz w:val="32"/>
          <w:szCs w:val="32"/>
        </w:rPr>
        <w:t xml:space="preserve"> </w:t>
      </w:r>
    </w:p>
    <w:p>
      <w:pPr>
        <w:widowControl/>
        <w:snapToGrid w:val="0"/>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日</w:t>
      </w:r>
    </w:p>
    <w:p>
      <w:pPr>
        <w:widowControl/>
        <w:snapToGrid w:val="0"/>
        <w:spacing w:line="560" w:lineRule="exact"/>
        <w:ind w:firstLine="640" w:firstLineChars="200"/>
        <w:rPr>
          <w:rFonts w:cs="Times New Roman"/>
        </w:rPr>
      </w:pPr>
      <w:r>
        <w:rPr>
          <w:rFonts w:hint="eastAsia" w:ascii="仿宋_GB2312" w:hAnsi="仿宋_GB2312" w:eastAsia="仿宋_GB2312" w:cs="仿宋_GB2312"/>
          <w:kern w:val="0"/>
          <w:sz w:val="32"/>
          <w:szCs w:val="32"/>
        </w:rPr>
        <w:t>（此件主动公开）</w:t>
      </w:r>
      <w:bookmarkStart w:id="0" w:name="_GoBack"/>
      <w:bookmarkEnd w:id="0"/>
    </w:p>
    <w:p>
      <w:pPr>
        <w:rPr>
          <w:rFonts w:cs="Times New Roman"/>
        </w:rPr>
      </w:pPr>
    </w:p>
    <w:p>
      <w:pPr>
        <w:widowControl/>
        <w:jc w:val="left"/>
        <w:rPr>
          <w:rFonts w:cs="Times New Roman"/>
        </w:rPr>
      </w:pPr>
    </w:p>
    <w:p/>
    <w:p/>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cs="宋体"/>
        <w:sz w:val="28"/>
        <w:szCs w:val="28"/>
      </w:rPr>
    </w:pPr>
    <w:r>
      <w:rPr>
        <w:rStyle w:val="4"/>
        <w:rFonts w:ascii="宋体" w:hAnsi="宋体" w:cs="宋体"/>
        <w:sz w:val="28"/>
        <w:szCs w:val="28"/>
      </w:rPr>
      <w:fldChar w:fldCharType="begin"/>
    </w:r>
    <w:r>
      <w:rPr>
        <w:rStyle w:val="4"/>
        <w:rFonts w:ascii="宋体" w:hAnsi="宋体" w:cs="宋体"/>
        <w:sz w:val="28"/>
        <w:szCs w:val="28"/>
      </w:rPr>
      <w:instrText xml:space="preserve">PAGE  </w:instrText>
    </w:r>
    <w:r>
      <w:rPr>
        <w:rStyle w:val="4"/>
        <w:rFonts w:ascii="宋体" w:hAnsi="宋体" w:cs="宋体"/>
        <w:sz w:val="28"/>
        <w:szCs w:val="28"/>
      </w:rPr>
      <w:fldChar w:fldCharType="separate"/>
    </w:r>
    <w:r>
      <w:rPr>
        <w:rStyle w:val="4"/>
        <w:rFonts w:ascii="宋体" w:hAnsi="宋体" w:cs="宋体"/>
        <w:sz w:val="28"/>
        <w:szCs w:val="28"/>
      </w:rPr>
      <w:t>- 6 -</w:t>
    </w:r>
    <w:r>
      <w:rPr>
        <w:rStyle w:val="4"/>
        <w:rFonts w:ascii="宋体" w:hAnsi="宋体" w:cs="宋体"/>
        <w:sz w:val="28"/>
        <w:szCs w:val="28"/>
      </w:rPr>
      <w:fldChar w:fldCharType="end"/>
    </w:r>
  </w:p>
  <w:p>
    <w:pPr>
      <w:pStyle w:val="2"/>
      <w:ind w:right="360" w:firstLine="36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ascii="宋体" w:cs="Times New Roman"/>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2"/>
                      <w:rPr>
                        <w:rFonts w:ascii="宋体"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A2E66"/>
    <w:rsid w:val="0B894B6F"/>
    <w:rsid w:val="0DC81082"/>
    <w:rsid w:val="0F86750A"/>
    <w:rsid w:val="2B9A7CB8"/>
    <w:rsid w:val="34C61935"/>
    <w:rsid w:val="37877DF8"/>
    <w:rsid w:val="3AD238EF"/>
    <w:rsid w:val="551A2E66"/>
    <w:rsid w:val="608205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2024-05-11T00:30:00Z</dcterms:created>
  <dc:creator>sudy</dc:creator>
  <cp:lastModifiedBy>sudy</cp:lastModifiedBy>
  <cp:lastPrinted>2024-05-20T01:21:00Z</cp:lastPrinted>
  <dcterms:modified xsi:type="dcterms:W3CDTF">2024-05-22T06:53:48Z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